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4A2A" w:rsidRPr="00332978" w:rsidRDefault="00BF4A2A" w:rsidP="00BF4A2A">
      <w:pPr>
        <w:tabs>
          <w:tab w:val="left" w:pos="720"/>
          <w:tab w:val="left" w:pos="1134"/>
        </w:tabs>
        <w:contextualSpacing/>
        <w:jc w:val="center"/>
        <w:rPr>
          <w:b/>
          <w:sz w:val="28"/>
          <w:szCs w:val="28"/>
        </w:rPr>
      </w:pPr>
      <w:r w:rsidRPr="00332978">
        <w:rPr>
          <w:b/>
          <w:sz w:val="28"/>
          <w:szCs w:val="28"/>
        </w:rPr>
        <w:t xml:space="preserve">ДОГОВОРЕННОСТЬ О ТОЛКОВАНИИ СТАТЬИ XXVIII ГЕНЕРАЛЬНОГО СОГЛАШЕНИЯ ПО ТАРИФАМ И ТОРГОВЛЕ </w:t>
      </w:r>
      <w:r w:rsidRPr="00332978">
        <w:rPr>
          <w:b/>
          <w:sz w:val="28"/>
          <w:szCs w:val="28"/>
        </w:rPr>
        <w:br/>
        <w:t>1994 года</w:t>
      </w:r>
    </w:p>
    <w:p w:rsidR="00BF4A2A" w:rsidRPr="00332978" w:rsidRDefault="00BF4A2A" w:rsidP="00BF4A2A">
      <w:pPr>
        <w:tabs>
          <w:tab w:val="left" w:pos="720"/>
          <w:tab w:val="left" w:pos="1134"/>
        </w:tabs>
        <w:ind w:firstLine="709"/>
        <w:contextualSpacing/>
        <w:jc w:val="center"/>
        <w:rPr>
          <w:sz w:val="28"/>
          <w:szCs w:val="28"/>
        </w:rPr>
      </w:pPr>
    </w:p>
    <w:p w:rsidR="00BF4A2A" w:rsidRPr="00332978" w:rsidRDefault="00BF4A2A" w:rsidP="00BF4A2A">
      <w:pPr>
        <w:tabs>
          <w:tab w:val="left" w:pos="720"/>
          <w:tab w:val="left" w:pos="1134"/>
        </w:tabs>
        <w:ind w:firstLine="709"/>
        <w:contextualSpacing/>
        <w:rPr>
          <w:sz w:val="28"/>
          <w:szCs w:val="28"/>
        </w:rPr>
      </w:pPr>
      <w:r w:rsidRPr="00332978">
        <w:rPr>
          <w:sz w:val="28"/>
          <w:szCs w:val="28"/>
        </w:rPr>
        <w:t xml:space="preserve">Настоящим </w:t>
      </w:r>
      <w:r w:rsidRPr="00332978">
        <w:rPr>
          <w:i/>
          <w:sz w:val="28"/>
          <w:szCs w:val="28"/>
        </w:rPr>
        <w:t>члены договариваются</w:t>
      </w:r>
      <w:r w:rsidRPr="00332978">
        <w:rPr>
          <w:sz w:val="28"/>
          <w:szCs w:val="28"/>
        </w:rPr>
        <w:t xml:space="preserve"> о нижеследующем:</w:t>
      </w:r>
    </w:p>
    <w:p w:rsidR="00BF4A2A" w:rsidRPr="00332978" w:rsidRDefault="00BF4A2A" w:rsidP="00BF4A2A">
      <w:pPr>
        <w:tabs>
          <w:tab w:val="left" w:pos="720"/>
          <w:tab w:val="left" w:pos="1134"/>
        </w:tabs>
        <w:ind w:firstLine="709"/>
        <w:contextualSpacing/>
        <w:jc w:val="both"/>
        <w:rPr>
          <w:sz w:val="28"/>
          <w:szCs w:val="28"/>
        </w:rPr>
      </w:pPr>
      <w:r w:rsidRPr="00332978">
        <w:rPr>
          <w:sz w:val="28"/>
          <w:szCs w:val="28"/>
        </w:rPr>
        <w:t>1.</w:t>
      </w:r>
      <w:r w:rsidRPr="00332978">
        <w:rPr>
          <w:sz w:val="28"/>
          <w:szCs w:val="28"/>
        </w:rPr>
        <w:tab/>
        <w:t>Для целей изменения или отзыва уступки член, имеющий наиболее высокую долю экспорта, затронутого уступкой (т.е. экспорта товара на рынок члена, изменяющего или отзывающего уступку), в его общем экспорте, считается основным заинтересованным поставщиком, если он уже не имеет первоначальных переговорных прав или не является основным заинтересованным поставщиком на основании пункта 1 статьи XXVIII. Одновременно договорено, что указанный пункт будет вновь рассмотрен Советом по торговле товарами через пять лет после вступления в силу Соглашения о ВТО для решения вопроса удовлетворительности действия этого критерия по обеспечению перераспределения переговорных прав в пользу малых и средних экспортеров-членов. Если его действие будет признано неудовлетворительным, будут подготовлены предложения о возможных улучшениях, включая, при наличии соответствующей информации, принятие критерия, основанного на доле экспорта, затронутого уступкой, в экспорте данного товара на все рынки.</w:t>
      </w:r>
    </w:p>
    <w:p w:rsidR="00BF4A2A" w:rsidRPr="00332978" w:rsidRDefault="00BF4A2A" w:rsidP="00BF4A2A">
      <w:pPr>
        <w:tabs>
          <w:tab w:val="left" w:pos="720"/>
          <w:tab w:val="left" w:pos="1134"/>
        </w:tabs>
        <w:ind w:firstLine="709"/>
        <w:contextualSpacing/>
        <w:jc w:val="both"/>
        <w:rPr>
          <w:sz w:val="28"/>
          <w:szCs w:val="28"/>
        </w:rPr>
      </w:pPr>
      <w:r w:rsidRPr="00332978">
        <w:rPr>
          <w:sz w:val="28"/>
          <w:szCs w:val="28"/>
        </w:rPr>
        <w:t>2.</w:t>
      </w:r>
      <w:r w:rsidRPr="00332978">
        <w:rPr>
          <w:sz w:val="28"/>
          <w:szCs w:val="28"/>
        </w:rPr>
        <w:tab/>
        <w:t>Если член считает, что он на основании пункта 1, является основным заинтересованным поставщиком, он направляет свои претензии в письменной форме с соответствующими доказательствами члену, который намерен изменить или отозвать уступку, и одновременно информирует об этом Секретариат. В таких случаях применяется пункт 4 «Процедур переговоров по статье XXVIII», принятых 10 ноября 1980 г. (BISD 27S/26-28).</w:t>
      </w:r>
    </w:p>
    <w:p w:rsidR="00BF4A2A" w:rsidRPr="00332978" w:rsidRDefault="00BF4A2A" w:rsidP="00BF4A2A">
      <w:pPr>
        <w:tabs>
          <w:tab w:val="left" w:pos="720"/>
          <w:tab w:val="left" w:pos="1134"/>
        </w:tabs>
        <w:ind w:firstLine="709"/>
        <w:contextualSpacing/>
        <w:jc w:val="both"/>
        <w:rPr>
          <w:sz w:val="28"/>
          <w:szCs w:val="28"/>
        </w:rPr>
      </w:pPr>
      <w:r w:rsidRPr="00332978">
        <w:rPr>
          <w:sz w:val="28"/>
          <w:szCs w:val="28"/>
        </w:rPr>
        <w:t>3.</w:t>
      </w:r>
      <w:r w:rsidRPr="00332978">
        <w:rPr>
          <w:sz w:val="28"/>
          <w:szCs w:val="28"/>
        </w:rPr>
        <w:tab/>
        <w:t>При решении вопроса о том, какие члены являются основными заинтересованными поставщиками (на основании вышеуказанного пункта 1 либо пункта 1 статьи XXVIII), а какие - существенно заинтересованными поставщиками, учитывается только торговля затрагиваемым товаром и которая осуществляется на основе РНБ. Однако торговля данным товаром на основе недоговорных преференций учитывается также, если в такой торговле перестали действовать преимущества преференциального режима, и она вернулась к режиму наибольшего благоприятствования, во время переговоров об изменении или отзыве уступки либо это произойдет к моменту завершения этих переговоров.</w:t>
      </w:r>
    </w:p>
    <w:p w:rsidR="00BF4A2A" w:rsidRPr="00332978" w:rsidRDefault="00BF4A2A" w:rsidP="00BF4A2A">
      <w:pPr>
        <w:tabs>
          <w:tab w:val="left" w:pos="720"/>
          <w:tab w:val="left" w:pos="1134"/>
        </w:tabs>
        <w:ind w:firstLine="709"/>
        <w:contextualSpacing/>
        <w:jc w:val="both"/>
        <w:rPr>
          <w:sz w:val="28"/>
          <w:szCs w:val="28"/>
        </w:rPr>
      </w:pPr>
      <w:r w:rsidRPr="00332978">
        <w:rPr>
          <w:sz w:val="28"/>
          <w:szCs w:val="28"/>
        </w:rPr>
        <w:t>4.</w:t>
      </w:r>
      <w:r w:rsidRPr="00332978">
        <w:rPr>
          <w:sz w:val="28"/>
          <w:szCs w:val="28"/>
        </w:rPr>
        <w:tab/>
        <w:t xml:space="preserve">Когда изменяется или отзывается тарифная уступка на новый товар (т.е. товар, по которому не имеется торговой статистики за трехлетний период), член, обладающий первоначальными переговорными правами по тарифной позиции, по которой товар классифицируется или классифицировался ранее, рассматривается как имеющий первоначальное переговорное право по данной уступке. При определении основных заинтересованных и существенно заинтересованных поставщиков и при расчете компенсации учитываются, в частности, производственные мощности и инвестиции по затронутому товару у члена-экспортера; оценки роста </w:t>
      </w:r>
      <w:r w:rsidRPr="00332978">
        <w:rPr>
          <w:sz w:val="28"/>
          <w:szCs w:val="28"/>
        </w:rPr>
        <w:lastRenderedPageBreak/>
        <w:t>экспорта, а также прогнозы спроса на данный товар у члена-импортера. Для целей этого пункта термин «новый товар» понимается как новая тарифная позиция, образованная путем выделения из существующей тарифной позиции.</w:t>
      </w:r>
    </w:p>
    <w:p w:rsidR="00BF4A2A" w:rsidRPr="00332978" w:rsidRDefault="00BF4A2A" w:rsidP="00BF4A2A">
      <w:pPr>
        <w:tabs>
          <w:tab w:val="left" w:pos="720"/>
          <w:tab w:val="left" w:pos="1134"/>
        </w:tabs>
        <w:ind w:firstLine="709"/>
        <w:contextualSpacing/>
        <w:jc w:val="both"/>
        <w:rPr>
          <w:sz w:val="28"/>
          <w:szCs w:val="28"/>
        </w:rPr>
      </w:pPr>
      <w:r w:rsidRPr="00332978">
        <w:rPr>
          <w:sz w:val="28"/>
          <w:szCs w:val="28"/>
        </w:rPr>
        <w:t>5.</w:t>
      </w:r>
      <w:r w:rsidRPr="00332978">
        <w:rPr>
          <w:sz w:val="28"/>
          <w:szCs w:val="28"/>
        </w:rPr>
        <w:tab/>
        <w:t>Если член считает, что он является основным заинтересованным или существенно заинтересованным поставщиком на основании положений пункта 4, он направляет претензии в письменной форме, с соответствующими доказательствами, члену, намеревающемуся изменить или отозвать уступку, и одновременно информирует об этом Секретариат. В таких случаях применяется пункт 4 вышеупомянутых «Процедур переговоров по статье XXVIII».</w:t>
      </w:r>
    </w:p>
    <w:p w:rsidR="00BF4A2A" w:rsidRPr="00332978" w:rsidRDefault="00BF4A2A" w:rsidP="00BF4A2A">
      <w:pPr>
        <w:tabs>
          <w:tab w:val="left" w:pos="720"/>
          <w:tab w:val="left" w:pos="1134"/>
        </w:tabs>
        <w:ind w:firstLine="709"/>
        <w:contextualSpacing/>
        <w:jc w:val="both"/>
        <w:rPr>
          <w:sz w:val="28"/>
          <w:szCs w:val="28"/>
        </w:rPr>
      </w:pPr>
      <w:r w:rsidRPr="00332978">
        <w:rPr>
          <w:sz w:val="28"/>
          <w:szCs w:val="28"/>
        </w:rPr>
        <w:t>6.</w:t>
      </w:r>
      <w:r w:rsidRPr="00332978">
        <w:rPr>
          <w:sz w:val="28"/>
          <w:szCs w:val="28"/>
        </w:rPr>
        <w:tab/>
        <w:t>Если неограниченная тарифная уступка заменяется тарифной квотой, то предусмотренная сумма компенсации должна превышать объем торговли, реально затрагиваемой изменением уступки. Базой для расчета компенсации должна быть величина, на которую прогнозируемая на будущее торговля превышает уровень квоты. При этом понимается, что расчет прогнозируемой торговли должен делаться на основе большей из следующих величин:</w:t>
      </w:r>
    </w:p>
    <w:p w:rsidR="00BF4A2A" w:rsidRPr="00332978" w:rsidRDefault="00BF4A2A" w:rsidP="00BF4A2A">
      <w:pPr>
        <w:tabs>
          <w:tab w:val="left" w:pos="720"/>
          <w:tab w:val="left" w:pos="1134"/>
        </w:tabs>
        <w:ind w:firstLine="709"/>
        <w:contextualSpacing/>
        <w:jc w:val="both"/>
        <w:rPr>
          <w:sz w:val="28"/>
          <w:szCs w:val="28"/>
        </w:rPr>
      </w:pPr>
      <w:r w:rsidRPr="00332978">
        <w:rPr>
          <w:sz w:val="28"/>
          <w:szCs w:val="28"/>
        </w:rPr>
        <w:t>(а)</w:t>
      </w:r>
      <w:r w:rsidRPr="00332978">
        <w:rPr>
          <w:sz w:val="28"/>
          <w:szCs w:val="28"/>
        </w:rPr>
        <w:tab/>
        <w:t>среднегодовой торговли в наиболее близкий представительный трехлетний период, увеличенной на среднегодовой рост импорта за тот же период либо на 10 процентов, в зависимости от того, какая из этих величин больше; или</w:t>
      </w:r>
    </w:p>
    <w:p w:rsidR="00BF4A2A" w:rsidRPr="00332978" w:rsidRDefault="00BF4A2A" w:rsidP="00BF4A2A">
      <w:pPr>
        <w:tabs>
          <w:tab w:val="left" w:pos="720"/>
          <w:tab w:val="left" w:pos="1134"/>
        </w:tabs>
        <w:ind w:firstLine="709"/>
        <w:contextualSpacing/>
        <w:jc w:val="both"/>
        <w:rPr>
          <w:sz w:val="28"/>
          <w:szCs w:val="28"/>
        </w:rPr>
      </w:pPr>
      <w:r w:rsidRPr="00332978">
        <w:rPr>
          <w:sz w:val="28"/>
          <w:szCs w:val="28"/>
        </w:rPr>
        <w:t>(b)</w:t>
      </w:r>
      <w:r w:rsidRPr="00332978">
        <w:rPr>
          <w:sz w:val="28"/>
          <w:szCs w:val="28"/>
        </w:rPr>
        <w:tab/>
        <w:t>торговли за наиболее близкий годовой период, увеличенной на 10 процентов.</w:t>
      </w:r>
    </w:p>
    <w:p w:rsidR="00BF4A2A" w:rsidRPr="00332978" w:rsidRDefault="00BF4A2A" w:rsidP="00BF4A2A">
      <w:pPr>
        <w:tabs>
          <w:tab w:val="left" w:pos="720"/>
          <w:tab w:val="left" w:pos="1134"/>
        </w:tabs>
        <w:ind w:firstLine="709"/>
        <w:contextualSpacing/>
        <w:jc w:val="both"/>
        <w:rPr>
          <w:sz w:val="28"/>
          <w:szCs w:val="28"/>
        </w:rPr>
      </w:pPr>
      <w:r w:rsidRPr="00332978">
        <w:rPr>
          <w:sz w:val="28"/>
          <w:szCs w:val="28"/>
        </w:rPr>
        <w:t>Уровень обязательства члена по компенсации ни в коем случае не может превышать уровня, который мог бы возникнуть в результате полной отмены уступки.</w:t>
      </w:r>
    </w:p>
    <w:p w:rsidR="00EA1E8B" w:rsidRDefault="00BF4A2A" w:rsidP="00BF4A2A">
      <w:pPr>
        <w:ind w:firstLine="709"/>
        <w:jc w:val="both"/>
      </w:pPr>
      <w:r w:rsidRPr="00332978">
        <w:rPr>
          <w:sz w:val="28"/>
          <w:szCs w:val="28"/>
        </w:rPr>
        <w:t>7.</w:t>
      </w:r>
      <w:bookmarkStart w:id="0" w:name="_GoBack"/>
      <w:bookmarkEnd w:id="0"/>
      <w:r w:rsidRPr="00332978">
        <w:rPr>
          <w:sz w:val="28"/>
          <w:szCs w:val="28"/>
        </w:rPr>
        <w:tab/>
        <w:t>Любому члену, являющемуся основным заинтересованным поставщиком (либо на основании пункта 1, либо на основании пункта 1 статьи XXVIII) в отношении уступки, которая является предметом изменения или отзыва, предоставляется первоначальное переговорное право по компенсационным уступкам, если иная форма компенсации не согласована между соответствующими членами</w:t>
      </w:r>
    </w:p>
    <w:sectPr w:rsidR="00EA1E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A2A"/>
    <w:rsid w:val="001A3277"/>
    <w:rsid w:val="002E7544"/>
    <w:rsid w:val="00307816"/>
    <w:rsid w:val="00406571"/>
    <w:rsid w:val="006A3AAD"/>
    <w:rsid w:val="00AE5CD1"/>
    <w:rsid w:val="00B824C6"/>
    <w:rsid w:val="00BF4A2A"/>
    <w:rsid w:val="00EA1E8B"/>
    <w:rsid w:val="00EA3C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0B5DA0-A21D-4A52-82A8-94C4845EB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4A2A"/>
    <w:pPr>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691</Words>
  <Characters>3944</Characters>
  <Application>Microsoft Office Word</Application>
  <DocSecurity>0</DocSecurity>
  <Lines>32</Lines>
  <Paragraphs>9</Paragraphs>
  <ScaleCrop>false</ScaleCrop>
  <Company/>
  <LinksUpToDate>false</LinksUpToDate>
  <CharactersWithSpaces>4626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CTPD</dc:creator>
  <cp:keywords/>
  <dc:description/>
  <cp:lastModifiedBy>CTPD</cp:lastModifiedBy>
  <cp:revision>1</cp:revision>
  <dcterms:created xsi:type="dcterms:W3CDTF">2018-05-18T09:15:00Z</dcterms:created>
  <dcterms:modified xsi:type="dcterms:W3CDTF">2018-05-18T09:18:00Z</dcterms:modified>
</cp:coreProperties>
</file>