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E7" w:rsidRPr="00332978" w:rsidRDefault="009916E7" w:rsidP="009916E7">
      <w:pPr>
        <w:tabs>
          <w:tab w:val="left" w:pos="720"/>
          <w:tab w:val="left" w:pos="1134"/>
        </w:tabs>
        <w:contextualSpacing/>
        <w:jc w:val="center"/>
        <w:rPr>
          <w:b/>
          <w:sz w:val="28"/>
          <w:szCs w:val="28"/>
        </w:rPr>
      </w:pPr>
      <w:bookmarkStart w:id="0" w:name="_GoBack"/>
      <w:r w:rsidRPr="00332978">
        <w:rPr>
          <w:b/>
          <w:sz w:val="28"/>
          <w:szCs w:val="28"/>
        </w:rPr>
        <w:t xml:space="preserve">ДОГОВОРЕННОСТЬ О ТОЛКОВАНИИ СТАТЬИ XXIV </w:t>
      </w:r>
      <w:bookmarkEnd w:id="0"/>
      <w:r w:rsidRPr="00332978">
        <w:rPr>
          <w:b/>
          <w:sz w:val="28"/>
          <w:szCs w:val="28"/>
        </w:rPr>
        <w:t>ГЕНЕРАЛЬНОГО СОГЛАШЕНИЯ ПО ТАРИФАМ И ТОРГОВЛЕ</w:t>
      </w:r>
    </w:p>
    <w:p w:rsidR="009916E7" w:rsidRPr="00332978" w:rsidRDefault="009916E7" w:rsidP="009916E7">
      <w:pPr>
        <w:tabs>
          <w:tab w:val="left" w:pos="720"/>
          <w:tab w:val="left" w:pos="1134"/>
        </w:tabs>
        <w:contextualSpacing/>
        <w:jc w:val="center"/>
        <w:rPr>
          <w:b/>
          <w:sz w:val="28"/>
          <w:szCs w:val="28"/>
        </w:rPr>
      </w:pPr>
      <w:r w:rsidRPr="00332978">
        <w:rPr>
          <w:b/>
          <w:sz w:val="28"/>
          <w:szCs w:val="28"/>
        </w:rPr>
        <w:t>1994 года</w:t>
      </w:r>
    </w:p>
    <w:p w:rsidR="009916E7" w:rsidRPr="00332978" w:rsidRDefault="009916E7" w:rsidP="009916E7">
      <w:pPr>
        <w:tabs>
          <w:tab w:val="left" w:pos="720"/>
          <w:tab w:val="left" w:pos="1134"/>
        </w:tabs>
        <w:ind w:firstLine="709"/>
        <w:contextualSpacing/>
        <w:jc w:val="center"/>
        <w:rPr>
          <w:sz w:val="28"/>
          <w:szCs w:val="28"/>
        </w:rPr>
      </w:pPr>
    </w:p>
    <w:p w:rsidR="009916E7" w:rsidRPr="00332978" w:rsidRDefault="009916E7" w:rsidP="009916E7">
      <w:pPr>
        <w:tabs>
          <w:tab w:val="left" w:pos="720"/>
          <w:tab w:val="left" w:pos="1134"/>
        </w:tabs>
        <w:ind w:firstLine="709"/>
        <w:contextualSpacing/>
        <w:rPr>
          <w:sz w:val="28"/>
          <w:szCs w:val="28"/>
        </w:rPr>
      </w:pPr>
      <w:r w:rsidRPr="00332978">
        <w:rPr>
          <w:i/>
          <w:sz w:val="28"/>
          <w:szCs w:val="28"/>
        </w:rPr>
        <w:t>Члены,</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принимая</w:t>
      </w:r>
      <w:r w:rsidRPr="00332978">
        <w:rPr>
          <w:sz w:val="28"/>
          <w:szCs w:val="28"/>
        </w:rPr>
        <w:t xml:space="preserve"> во внимание положения статьи XXIV ГАТТ 1994;</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признавая</w:t>
      </w:r>
      <w:r w:rsidRPr="00332978">
        <w:rPr>
          <w:sz w:val="28"/>
          <w:szCs w:val="28"/>
        </w:rPr>
        <w:t>, что со времени учреждения ГАТТ 1947 число и значение таможенных союзов и зон свободной торговли существенно возросло, и в настоящее время на их долю приходится значительная часть мировой торговли;</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признавая</w:t>
      </w:r>
      <w:r w:rsidRPr="00332978">
        <w:rPr>
          <w:sz w:val="28"/>
          <w:szCs w:val="28"/>
        </w:rPr>
        <w:t xml:space="preserve"> вклад в расширение мировой торговли, который может быть внесен благодаря более тесной экономической интеграции участников таких соглашений;</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признавая</w:t>
      </w:r>
      <w:r w:rsidRPr="00332978">
        <w:rPr>
          <w:sz w:val="28"/>
          <w:szCs w:val="28"/>
        </w:rPr>
        <w:t xml:space="preserve"> также, что такой вклад увеличивается, если распространяется на всю торговлю, устранение пошлин и других ограничительных мер регулирования торговли между составляющими территориями и уменьшится в случае исключения какого-либо важного сектора торговли, </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вновь</w:t>
      </w:r>
      <w:r w:rsidRPr="00332978">
        <w:rPr>
          <w:sz w:val="28"/>
          <w:szCs w:val="28"/>
        </w:rPr>
        <w:t xml:space="preserve"> </w:t>
      </w:r>
      <w:r w:rsidRPr="00332978">
        <w:rPr>
          <w:i/>
          <w:sz w:val="28"/>
          <w:szCs w:val="28"/>
        </w:rPr>
        <w:t>подтверждая,</w:t>
      </w:r>
      <w:r w:rsidRPr="00332978">
        <w:rPr>
          <w:sz w:val="28"/>
          <w:szCs w:val="28"/>
        </w:rPr>
        <w:t xml:space="preserve"> что целью таких соглашений является облегчение торговли между составляющими территориями, а не повышение барьеров в торговле других членов с такими территориями; и что при их образовании или расширении их участники будут в максимально возможной степени избегать оказания неблагоприятного воздействия на торговлю других членов;</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убежденные</w:t>
      </w:r>
      <w:r w:rsidRPr="00332978">
        <w:rPr>
          <w:sz w:val="28"/>
          <w:szCs w:val="28"/>
        </w:rPr>
        <w:t xml:space="preserve"> также в необходимости усилить действенную роль Совета по торговле товарами в рассмотрении соглашений, о которых произведены уведомления на основании статьи XXIV, посредством уточнения критериев и процедур оценки новых или расширенных соглашений, а также обеспечения большей транспарентности по всем соглашениям, подпадающим под статью XXIV;</w:t>
      </w:r>
    </w:p>
    <w:p w:rsidR="009916E7" w:rsidRPr="00332978" w:rsidRDefault="009916E7" w:rsidP="009916E7">
      <w:pPr>
        <w:tabs>
          <w:tab w:val="left" w:pos="720"/>
          <w:tab w:val="left" w:pos="1134"/>
        </w:tabs>
        <w:ind w:firstLine="709"/>
        <w:contextualSpacing/>
        <w:jc w:val="both"/>
        <w:rPr>
          <w:sz w:val="28"/>
          <w:szCs w:val="28"/>
        </w:rPr>
      </w:pPr>
      <w:r w:rsidRPr="00332978">
        <w:rPr>
          <w:i/>
          <w:sz w:val="28"/>
          <w:szCs w:val="28"/>
        </w:rPr>
        <w:tab/>
        <w:t>признавая</w:t>
      </w:r>
      <w:r w:rsidRPr="00332978">
        <w:rPr>
          <w:sz w:val="28"/>
          <w:szCs w:val="28"/>
        </w:rPr>
        <w:t xml:space="preserve"> необходимость общего понимания обязательств членов в соответствии с пунктом 12 статьи XXIV;</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ab/>
      </w:r>
      <w:r w:rsidRPr="00332978">
        <w:rPr>
          <w:i/>
          <w:sz w:val="28"/>
          <w:szCs w:val="28"/>
        </w:rPr>
        <w:t>настоящим</w:t>
      </w:r>
      <w:r w:rsidRPr="00332978">
        <w:rPr>
          <w:sz w:val="28"/>
          <w:szCs w:val="28"/>
        </w:rPr>
        <w:t xml:space="preserve"> </w:t>
      </w:r>
      <w:r w:rsidRPr="00332978">
        <w:rPr>
          <w:i/>
          <w:sz w:val="28"/>
          <w:szCs w:val="28"/>
        </w:rPr>
        <w:t>договариваются</w:t>
      </w:r>
      <w:r w:rsidRPr="00332978">
        <w:rPr>
          <w:sz w:val="28"/>
          <w:szCs w:val="28"/>
        </w:rPr>
        <w:t xml:space="preserve"> о нижеследующем:</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1.</w:t>
      </w:r>
      <w:r w:rsidRPr="00332978">
        <w:rPr>
          <w:sz w:val="28"/>
          <w:szCs w:val="28"/>
        </w:rPr>
        <w:tab/>
        <w:t xml:space="preserve">Таможенные союзы, зоны свободной торговли и временные соглашения, ведущие к образованию таможенного союза или зоны свободной торговли, в целях соответствия статье XXIV должны удовлетворять,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i/>
          <w:sz w:val="28"/>
          <w:szCs w:val="28"/>
        </w:rPr>
        <w:t xml:space="preserve">, </w:t>
      </w:r>
      <w:r w:rsidRPr="00332978">
        <w:rPr>
          <w:sz w:val="28"/>
          <w:szCs w:val="28"/>
        </w:rPr>
        <w:t>положениям пунктов 5, 6, 7 и 8 указанной статьи.</w:t>
      </w:r>
    </w:p>
    <w:p w:rsidR="009916E7" w:rsidRPr="00332978" w:rsidRDefault="009916E7" w:rsidP="009916E7">
      <w:pPr>
        <w:tabs>
          <w:tab w:val="left" w:pos="720"/>
          <w:tab w:val="left" w:pos="1134"/>
        </w:tabs>
        <w:ind w:firstLine="709"/>
        <w:contextualSpacing/>
        <w:jc w:val="both"/>
        <w:rPr>
          <w:sz w:val="28"/>
          <w:szCs w:val="28"/>
        </w:rPr>
      </w:pPr>
    </w:p>
    <w:p w:rsidR="009916E7" w:rsidRPr="00332978" w:rsidRDefault="009916E7" w:rsidP="009916E7">
      <w:pPr>
        <w:tabs>
          <w:tab w:val="left" w:pos="720"/>
          <w:tab w:val="left" w:pos="1134"/>
        </w:tabs>
        <w:ind w:firstLine="709"/>
        <w:contextualSpacing/>
        <w:jc w:val="center"/>
        <w:rPr>
          <w:sz w:val="28"/>
          <w:szCs w:val="28"/>
        </w:rPr>
      </w:pPr>
      <w:r w:rsidRPr="00332978">
        <w:rPr>
          <w:b/>
          <w:i/>
          <w:sz w:val="28"/>
          <w:szCs w:val="28"/>
        </w:rPr>
        <w:t>СТАТЬЯ XXIV:5</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Оценка в соответствии с пунктом 5(а) статьи XXIV общего воздействия степени влияния пошлин и других мер регулирования торговли, применявшихся до и после образования таможенного союза, в отношении пошлин и сборов основывается на полной оценке средневзвешенных тарифных ставок и взимаемых таможенных пошлин. Эта оценка основывается на статистике импорта за предшествующий представительный период, </w:t>
      </w:r>
      <w:r w:rsidRPr="00332978">
        <w:rPr>
          <w:sz w:val="28"/>
          <w:szCs w:val="28"/>
        </w:rPr>
        <w:lastRenderedPageBreak/>
        <w:t>предоставленной таможенным союзом по тарифным позициям, в стоимостном и количественном выражении, в разбивке по странам происхождения, являющимся членами ВТО. Секретариат исчисляет средневзвешенные тарифные ставки и взысканные таможенные пошлины в соответствии с методологией, использованной при оценке тарифных предложений в ходе Уругвайского раунда многосторонних торговых переговоров. Пошлинами и сборами, которые принимаются во внимание для этой цели, являются применяемые ставки пошлин. Признается, что для полной оценки влияния других мер регулирования торговли, количественное выражение и агрегирование которых затруднительно, может потребоваться изучение отдельных мер, постановлений, круга затронутых товаров и торговых потоков.</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3.</w:t>
      </w:r>
      <w:r w:rsidRPr="00332978">
        <w:rPr>
          <w:sz w:val="28"/>
          <w:szCs w:val="28"/>
        </w:rPr>
        <w:tab/>
        <w:t>«Разумный период времени», упомянутый в пункте 5(с) статьи XXIV, может превышать 10 лет только в исключительных случаях. В случаях, когда члены, являющиеся сторонами временного соглашения, считают, что десятилетний период был бы недостаточным, они предоставляют Совету по торговле товарами исчерпывающие объяснения относительно необходимости более продолжительного периода.</w:t>
      </w:r>
    </w:p>
    <w:p w:rsidR="009916E7" w:rsidRPr="00332978" w:rsidRDefault="009916E7" w:rsidP="009916E7">
      <w:pPr>
        <w:tabs>
          <w:tab w:val="left" w:pos="720"/>
          <w:tab w:val="left" w:pos="1134"/>
        </w:tabs>
        <w:ind w:firstLine="709"/>
        <w:contextualSpacing/>
        <w:jc w:val="both"/>
        <w:rPr>
          <w:sz w:val="28"/>
          <w:szCs w:val="28"/>
        </w:rPr>
      </w:pPr>
    </w:p>
    <w:p w:rsidR="009916E7" w:rsidRPr="00332978" w:rsidRDefault="009916E7" w:rsidP="009916E7">
      <w:pPr>
        <w:tabs>
          <w:tab w:val="left" w:pos="720"/>
          <w:tab w:val="left" w:pos="1134"/>
        </w:tabs>
        <w:ind w:firstLine="709"/>
        <w:contextualSpacing/>
        <w:jc w:val="center"/>
        <w:rPr>
          <w:i/>
          <w:sz w:val="28"/>
          <w:szCs w:val="28"/>
        </w:rPr>
      </w:pPr>
      <w:r w:rsidRPr="00332978">
        <w:rPr>
          <w:b/>
          <w:i/>
          <w:sz w:val="28"/>
          <w:szCs w:val="28"/>
        </w:rPr>
        <w:t>СТАТЬЯ XXIV:6</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4.</w:t>
      </w:r>
      <w:r w:rsidRPr="00332978">
        <w:rPr>
          <w:sz w:val="28"/>
          <w:szCs w:val="28"/>
        </w:rPr>
        <w:tab/>
        <w:t>Пункт 6 статьи XXIV устанавливает процедуру для случаев, когда член, создающий таможенный союз, намеревается повысить связанную ставку пошлины. В этой связи члены вновь подтверждают, что процедура, установленная в статье XXVIII, которая выработана на основании рекомендаций, принятых 10 ноября 1980 г. (ВISD 27S/26-28), и Договоренности о толковании статьи XXVIII ГАТТ 1994, должна начинаться до изменения или отзыва тарифных уступок в связи с образованием таможенного союза или заключением временного соглашения, ведущего к образованию таможенного союза.</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5.</w:t>
      </w:r>
      <w:r w:rsidRPr="00332978">
        <w:rPr>
          <w:sz w:val="28"/>
          <w:szCs w:val="28"/>
        </w:rPr>
        <w:tab/>
        <w:t xml:space="preserve">Такие переговоры будут проводиться в духе доброй воли с целью достижения взаимоприемлемого урегулирования в отношении компенсации. В ходе таких переговоров, как это предусмотрено пунктом 6 статьи XXIV, должным образом учитываются снижения пошлин по той же тарифной позиции, осуществленные другими участниками таможенного союза после его образования. Если такие снижения окажутся недостаточными для предоставления необходимой компенсации, таможенный союз должен предложить компенсацию в виде снижения пошлин по другим тарифным позициям. Такое предложение принимается во внимание членами, имеющими права на такие переговоры в связи с изменением или отзывом связанных тарифов. Если предоставляемая компенсация остается неприемлемой, переговоры должны быть продолжены. В тех случаях, когда, несмотря на все усилия, приложенные в ходе переговоров о предоставлении компенсации по статье XXVIII, с учётом положений Договоренности о толковании статьи XXVIII ГАТТ 1994, соглашение не может быть достигнуто в течение </w:t>
      </w:r>
      <w:r w:rsidRPr="00332978">
        <w:rPr>
          <w:sz w:val="28"/>
          <w:szCs w:val="28"/>
        </w:rPr>
        <w:lastRenderedPageBreak/>
        <w:t>разумного периода времени с начала переговоров, таможенный союз имеет, тем не менее, право изменить или отозвать уступки; члены, интересы которых затронуты, в этом случае имеют право отозвать равноценные по сути уступки в соответствии со статьей XXVIII.</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6.</w:t>
      </w:r>
      <w:r w:rsidRPr="00332978">
        <w:rPr>
          <w:sz w:val="28"/>
          <w:szCs w:val="28"/>
        </w:rPr>
        <w:tab/>
        <w:t>ГАТТ 1994 не налагает обязательств на членов, извлекающих выгоду из снижения пошлин в результате образования таможенного союза или временного соглашения, ведущего к образованию таможенного союза, предоставить компенсацию составляющим его территориям.</w:t>
      </w:r>
    </w:p>
    <w:p w:rsidR="009916E7" w:rsidRPr="00332978" w:rsidRDefault="009916E7" w:rsidP="009916E7">
      <w:pPr>
        <w:tabs>
          <w:tab w:val="left" w:pos="720"/>
          <w:tab w:val="left" w:pos="1134"/>
        </w:tabs>
        <w:ind w:firstLine="709"/>
        <w:contextualSpacing/>
        <w:jc w:val="both"/>
        <w:rPr>
          <w:sz w:val="28"/>
          <w:szCs w:val="28"/>
        </w:rPr>
      </w:pPr>
    </w:p>
    <w:p w:rsidR="009916E7" w:rsidRPr="00332978" w:rsidRDefault="009916E7" w:rsidP="009916E7">
      <w:pPr>
        <w:tabs>
          <w:tab w:val="left" w:pos="720"/>
          <w:tab w:val="left" w:pos="1134"/>
        </w:tabs>
        <w:ind w:firstLine="709"/>
        <w:contextualSpacing/>
        <w:jc w:val="center"/>
        <w:rPr>
          <w:i/>
          <w:sz w:val="28"/>
          <w:szCs w:val="28"/>
        </w:rPr>
      </w:pPr>
      <w:r w:rsidRPr="00332978">
        <w:rPr>
          <w:i/>
          <w:sz w:val="28"/>
          <w:szCs w:val="28"/>
        </w:rPr>
        <w:t>Рассмотрение таможенных союзов и зон свободной торговли</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7.</w:t>
      </w:r>
      <w:r w:rsidRPr="00332978">
        <w:rPr>
          <w:sz w:val="28"/>
          <w:szCs w:val="28"/>
        </w:rPr>
        <w:tab/>
        <w:t>Все уведомления, сделанные в соответствии с пунктом 7(а) статьи XXIV, рассматриваются рабочей группой в свете соответствующих положений ГАТТ 1994 и пункта 1 настоящей Договоренности. Рабочая группа представляет доклад со своими выводами Совету по торговле товарами. Совет по торговле товарами может давать такие рекомендации членам, которые он считает необходимыми.</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8.</w:t>
      </w:r>
      <w:r w:rsidRPr="00332978">
        <w:rPr>
          <w:sz w:val="28"/>
          <w:szCs w:val="28"/>
        </w:rPr>
        <w:tab/>
        <w:t>По временным соглашениям рабочая группа может в своем докладе вносить соответствующие рекомендации относительно предполагаемых графиков и мер, необходимых для завершения образования таможенного союза или зоны свободной торговли. В случае необходимости она может продлить процедуру рассмотрения соглашения.</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9.</w:t>
      </w:r>
      <w:r w:rsidRPr="00332978">
        <w:rPr>
          <w:sz w:val="28"/>
          <w:szCs w:val="28"/>
        </w:rPr>
        <w:tab/>
        <w:t>Члены, являющиеся сторонами временного соглашения, уведомляют Совет по торговле товарами о значительных изменениях в плане и графике, включенных в соглашение, а Совет, в случае поступления соответствующей просьбы, рассматривает такие изменения.</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10.</w:t>
      </w:r>
      <w:r w:rsidRPr="00332978">
        <w:rPr>
          <w:sz w:val="28"/>
          <w:szCs w:val="28"/>
        </w:rPr>
        <w:tab/>
        <w:t>Если временное соглашение, о котором представлено уведомление согласно пункту 7(а) статьи XXIV, несмотря на положения пункта 5(а) статьи XXIV, не включает план и график, рабочая группа в своем докладе рекомендует составление такого плана и графика. В таком случае участники не могут оставлять в силе или вводить в действие такое соглашение, если только они не готовы изменить его в соответствии с указанными рекомендациями. Впоследствии выполнение указанных рекомендаций подлежит дальнейшему рассмотрению.</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11.</w:t>
      </w:r>
      <w:r w:rsidRPr="00332978">
        <w:rPr>
          <w:sz w:val="28"/>
          <w:szCs w:val="28"/>
        </w:rPr>
        <w:tab/>
        <w:t>Таможенные союзы и территории, составляющие зоны свободной торговли, как это предусмотрено ДОГОВАРИВАЮЩИМИСЯ СТОРОНАМИ ГАТТ 1947 в их инструкции Совету ГАТТ 1947, касающейся докладов о региональных соглашениях (ВISD 18S/38), периодически информируют Совет по торговле товарами о действии соответствующего соглашения. Любые значительные поправки и/или дополнения к соглашениям сообщаются по мере их внесения.</w:t>
      </w:r>
    </w:p>
    <w:p w:rsidR="009916E7" w:rsidRPr="00332978" w:rsidRDefault="009916E7" w:rsidP="009916E7">
      <w:pPr>
        <w:tabs>
          <w:tab w:val="left" w:pos="720"/>
          <w:tab w:val="left" w:pos="1134"/>
        </w:tabs>
        <w:ind w:firstLine="709"/>
        <w:contextualSpacing/>
        <w:jc w:val="both"/>
        <w:rPr>
          <w:sz w:val="28"/>
          <w:szCs w:val="28"/>
        </w:rPr>
      </w:pPr>
    </w:p>
    <w:p w:rsidR="009916E7" w:rsidRPr="00332978" w:rsidRDefault="009916E7" w:rsidP="009916E7">
      <w:pPr>
        <w:tabs>
          <w:tab w:val="left" w:pos="720"/>
          <w:tab w:val="left" w:pos="1134"/>
        </w:tabs>
        <w:ind w:firstLine="709"/>
        <w:contextualSpacing/>
        <w:jc w:val="center"/>
        <w:rPr>
          <w:i/>
          <w:sz w:val="28"/>
          <w:szCs w:val="28"/>
        </w:rPr>
      </w:pPr>
      <w:r w:rsidRPr="00332978">
        <w:rPr>
          <w:i/>
          <w:sz w:val="28"/>
          <w:szCs w:val="28"/>
        </w:rPr>
        <w:t>Урегулирование споров</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lastRenderedPageBreak/>
        <w:t>12.</w:t>
      </w:r>
      <w:r w:rsidRPr="00332978">
        <w:rPr>
          <w:sz w:val="28"/>
          <w:szCs w:val="28"/>
        </w:rPr>
        <w:tab/>
        <w:t>Положения статей XXII и XXIII ГАТТ 1994, с учётом положений Договоренности о разрешении споров, могут быть использованы в отношении любых вопросов, возникающих в связи с применением положений статьи XXIV, касающихся таможенных союзов, зон свободной торговли или временных соглашений, ведущих к образованию таможенного союза или зоны свободной торговли.</w:t>
      </w:r>
    </w:p>
    <w:p w:rsidR="009916E7" w:rsidRPr="00332978" w:rsidRDefault="009916E7" w:rsidP="009916E7">
      <w:pPr>
        <w:tabs>
          <w:tab w:val="left" w:pos="720"/>
          <w:tab w:val="left" w:pos="1134"/>
        </w:tabs>
        <w:ind w:firstLine="709"/>
        <w:contextualSpacing/>
        <w:jc w:val="both"/>
        <w:rPr>
          <w:sz w:val="28"/>
          <w:szCs w:val="28"/>
        </w:rPr>
      </w:pPr>
    </w:p>
    <w:p w:rsidR="009916E7" w:rsidRPr="00332978" w:rsidRDefault="009916E7" w:rsidP="009916E7">
      <w:pPr>
        <w:tabs>
          <w:tab w:val="left" w:pos="720"/>
          <w:tab w:val="left" w:pos="1134"/>
        </w:tabs>
        <w:ind w:firstLine="709"/>
        <w:contextualSpacing/>
        <w:jc w:val="center"/>
        <w:rPr>
          <w:i/>
          <w:sz w:val="28"/>
          <w:szCs w:val="28"/>
        </w:rPr>
      </w:pPr>
      <w:r w:rsidRPr="00332978">
        <w:rPr>
          <w:b/>
          <w:i/>
          <w:sz w:val="28"/>
          <w:szCs w:val="28"/>
        </w:rPr>
        <w:t>СТАТЬЯ XXIV:12</w:t>
      </w:r>
    </w:p>
    <w:p w:rsidR="009916E7" w:rsidRPr="00332978" w:rsidRDefault="009916E7" w:rsidP="009916E7">
      <w:pPr>
        <w:tabs>
          <w:tab w:val="left" w:pos="720"/>
          <w:tab w:val="left" w:pos="1134"/>
        </w:tabs>
        <w:ind w:firstLine="709"/>
        <w:contextualSpacing/>
        <w:jc w:val="both"/>
        <w:rPr>
          <w:sz w:val="28"/>
          <w:szCs w:val="28"/>
        </w:rPr>
      </w:pPr>
      <w:r w:rsidRPr="00332978">
        <w:rPr>
          <w:sz w:val="28"/>
          <w:szCs w:val="28"/>
        </w:rPr>
        <w:t>13.</w:t>
      </w:r>
      <w:r w:rsidRPr="00332978">
        <w:rPr>
          <w:sz w:val="28"/>
          <w:szCs w:val="28"/>
        </w:rPr>
        <w:tab/>
        <w:t>Каждый член ВТО несет полную ответственность по ГАТТ 1994 за соблюдение всех его положений и принимает все разумные меры, имеющиеся в его распоряжении для обеспечения их соблюдения региональными и местными правительствами и властями в пределах своей территории.</w:t>
      </w:r>
    </w:p>
    <w:p w:rsidR="009916E7" w:rsidRDefault="009916E7" w:rsidP="009916E7">
      <w:pPr>
        <w:tabs>
          <w:tab w:val="left" w:pos="720"/>
          <w:tab w:val="left" w:pos="1134"/>
        </w:tabs>
        <w:ind w:firstLine="709"/>
        <w:contextualSpacing/>
        <w:jc w:val="both"/>
        <w:rPr>
          <w:sz w:val="28"/>
          <w:szCs w:val="28"/>
        </w:rPr>
      </w:pPr>
      <w:r w:rsidRPr="00332978">
        <w:rPr>
          <w:sz w:val="28"/>
          <w:szCs w:val="28"/>
        </w:rPr>
        <w:t>14.</w:t>
      </w:r>
      <w:r w:rsidRPr="00332978">
        <w:rPr>
          <w:sz w:val="28"/>
          <w:szCs w:val="28"/>
        </w:rPr>
        <w:tab/>
        <w:t>Положения статей XXII и XXIII ГАТТ 1994, с учётом положений Договоренности о разрешении споров, могут быть использованы в отношении мер, которые затрагивают их соблюдение, принятых региональными и местными правительствами и властями в пределах территории члена. Если Орган по разрешению споров устанавливает факт несоблюдения положений ГАТТ 1994, член, к которому это относится, принимает все разумные меры, имеющиеся в его распоряжении, для обеспечения их соблюдения. Положения, касающиеся компенсации и приостановки действия уступок или других обязательств, применяются в тех случаях, когда невозможно обеспечить иначе соблюдение указанных обязательств.</w:t>
      </w:r>
      <w:r>
        <w:rPr>
          <w:sz w:val="28"/>
          <w:szCs w:val="28"/>
        </w:rPr>
        <w:t xml:space="preserve"> </w:t>
      </w:r>
    </w:p>
    <w:p w:rsidR="00EA1E8B" w:rsidRDefault="009916E7" w:rsidP="009916E7">
      <w:pPr>
        <w:tabs>
          <w:tab w:val="left" w:pos="720"/>
          <w:tab w:val="left" w:pos="1134"/>
        </w:tabs>
        <w:ind w:firstLine="709"/>
        <w:contextualSpacing/>
        <w:jc w:val="both"/>
      </w:pPr>
      <w:r>
        <w:rPr>
          <w:sz w:val="28"/>
          <w:szCs w:val="28"/>
        </w:rPr>
        <w:t xml:space="preserve">15. </w:t>
      </w:r>
      <w:r w:rsidRPr="00332978">
        <w:rPr>
          <w:sz w:val="28"/>
          <w:szCs w:val="28"/>
        </w:rPr>
        <w:t>Каждый член обязуется в духе доброй воли уделять внимание и предоставлять достаточные возможности для консультаций, рассматривая представления, сделанные другим членом в отношении мер, затрагивающих действие ГАТТ 1994 , принятых в пределах его территории</w:t>
      </w:r>
    </w:p>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BB" w:rsidRDefault="003307BB" w:rsidP="009916E7">
      <w:r>
        <w:separator/>
      </w:r>
    </w:p>
  </w:endnote>
  <w:endnote w:type="continuationSeparator" w:id="0">
    <w:p w:rsidR="003307BB" w:rsidRDefault="003307BB" w:rsidP="0099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66848"/>
      <w:docPartObj>
        <w:docPartGallery w:val="Page Numbers (Bottom of Page)"/>
        <w:docPartUnique/>
      </w:docPartObj>
    </w:sdtPr>
    <w:sdtContent>
      <w:p w:rsidR="009916E7" w:rsidRDefault="009916E7">
        <w:pPr>
          <w:pStyle w:val="a5"/>
          <w:jc w:val="center"/>
        </w:pPr>
        <w:r>
          <w:fldChar w:fldCharType="begin"/>
        </w:r>
        <w:r>
          <w:instrText>PAGE   \* MERGEFORMAT</w:instrText>
        </w:r>
        <w:r>
          <w:fldChar w:fldCharType="separate"/>
        </w:r>
        <w:r>
          <w:rPr>
            <w:noProof/>
          </w:rPr>
          <w:t>4</w:t>
        </w:r>
        <w:r>
          <w:fldChar w:fldCharType="end"/>
        </w:r>
      </w:p>
    </w:sdtContent>
  </w:sdt>
  <w:p w:rsidR="009916E7" w:rsidRDefault="009916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BB" w:rsidRDefault="003307BB" w:rsidP="009916E7">
      <w:r>
        <w:separator/>
      </w:r>
    </w:p>
  </w:footnote>
  <w:footnote w:type="continuationSeparator" w:id="0">
    <w:p w:rsidR="003307BB" w:rsidRDefault="003307BB" w:rsidP="0099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E7" w:rsidRDefault="009916E7" w:rsidP="009916E7">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9916E7" w:rsidRDefault="009916E7" w:rsidP="009916E7">
    <w:pPr>
      <w:pStyle w:val="a3"/>
      <w:tabs>
        <w:tab w:val="left" w:pos="5253"/>
      </w:tabs>
      <w:jc w:val="right"/>
      <w:rPr>
        <w:i/>
        <w:color w:val="222222"/>
        <w:sz w:val="20"/>
        <w:shd w:val="clear" w:color="auto" w:fill="FFFFFF"/>
        <w:lang w:val="kk-KZ"/>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9916E7" w:rsidRDefault="009916E7" w:rsidP="009916E7">
    <w:pPr>
      <w:pStyle w:val="a3"/>
      <w:tabs>
        <w:tab w:val="left" w:pos="5253"/>
      </w:tabs>
      <w:jc w:val="right"/>
      <w:rPr>
        <w:szCs w:val="24"/>
      </w:rPr>
    </w:pPr>
  </w:p>
  <w:p w:rsidR="009916E7" w:rsidRDefault="009916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E7"/>
    <w:rsid w:val="001A3277"/>
    <w:rsid w:val="002E7544"/>
    <w:rsid w:val="00307816"/>
    <w:rsid w:val="003307BB"/>
    <w:rsid w:val="00406571"/>
    <w:rsid w:val="006A3AAD"/>
    <w:rsid w:val="009916E7"/>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0D6F2-FB91-4C90-B583-92077FB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E7"/>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9916E7"/>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E7"/>
    <w:pPr>
      <w:tabs>
        <w:tab w:val="center" w:pos="4677"/>
        <w:tab w:val="right" w:pos="9355"/>
      </w:tabs>
    </w:pPr>
  </w:style>
  <w:style w:type="character" w:customStyle="1" w:styleId="a4">
    <w:name w:val="Верхний колонтитул Знак"/>
    <w:basedOn w:val="a0"/>
    <w:link w:val="a3"/>
    <w:uiPriority w:val="99"/>
    <w:rsid w:val="009916E7"/>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9916E7"/>
    <w:pPr>
      <w:tabs>
        <w:tab w:val="center" w:pos="4677"/>
        <w:tab w:val="right" w:pos="9355"/>
      </w:tabs>
    </w:pPr>
  </w:style>
  <w:style w:type="character" w:customStyle="1" w:styleId="a6">
    <w:name w:val="Нижний колонтитул Знак"/>
    <w:basedOn w:val="a0"/>
    <w:link w:val="a5"/>
    <w:uiPriority w:val="99"/>
    <w:rsid w:val="009916E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916E7"/>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2018-05-18T06:04:00Z</dcterms:created>
  <dcterms:modified xsi:type="dcterms:W3CDTF">2018-05-18T06:06:00Z</dcterms:modified>
</cp:coreProperties>
</file>