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E7" w:rsidRPr="00332978" w:rsidRDefault="007539E7" w:rsidP="007539E7">
      <w:pPr>
        <w:tabs>
          <w:tab w:val="left" w:pos="1134"/>
        </w:tabs>
        <w:contextualSpacing/>
        <w:jc w:val="center"/>
        <w:rPr>
          <w:b/>
          <w:sz w:val="28"/>
          <w:szCs w:val="28"/>
        </w:rPr>
      </w:pPr>
      <w:bookmarkStart w:id="0" w:name="_GoBack"/>
      <w:r w:rsidRPr="00332978">
        <w:rPr>
          <w:b/>
          <w:sz w:val="28"/>
          <w:szCs w:val="28"/>
        </w:rPr>
        <w:t xml:space="preserve">ДОГОВОРЕННОСТЬ О ТОЛКОВАНИИ СТАТЬИ XVII </w:t>
      </w:r>
      <w:bookmarkEnd w:id="0"/>
      <w:r w:rsidRPr="00332978">
        <w:rPr>
          <w:b/>
          <w:sz w:val="28"/>
          <w:szCs w:val="28"/>
        </w:rPr>
        <w:t xml:space="preserve">ГЕНЕРАЛЬНОГО СОГЛАШЕНИЯ ПО ТАРИФАМ И ТОРГОВЛЕ </w:t>
      </w:r>
      <w:r w:rsidRPr="00332978">
        <w:rPr>
          <w:b/>
          <w:sz w:val="28"/>
          <w:szCs w:val="28"/>
        </w:rPr>
        <w:br/>
        <w:t>1994 года</w:t>
      </w:r>
    </w:p>
    <w:p w:rsidR="007539E7" w:rsidRPr="00332978" w:rsidRDefault="007539E7" w:rsidP="007539E7">
      <w:pPr>
        <w:tabs>
          <w:tab w:val="left" w:pos="1134"/>
        </w:tabs>
        <w:contextualSpacing/>
        <w:jc w:val="center"/>
        <w:rPr>
          <w:sz w:val="28"/>
          <w:szCs w:val="28"/>
        </w:rPr>
      </w:pPr>
    </w:p>
    <w:p w:rsidR="007539E7" w:rsidRPr="00332978" w:rsidRDefault="007539E7" w:rsidP="007539E7">
      <w:pPr>
        <w:tabs>
          <w:tab w:val="left" w:pos="1134"/>
        </w:tabs>
        <w:ind w:firstLine="709"/>
        <w:contextualSpacing/>
        <w:jc w:val="both"/>
        <w:rPr>
          <w:sz w:val="28"/>
          <w:szCs w:val="28"/>
        </w:rPr>
      </w:pPr>
      <w:r w:rsidRPr="00332978">
        <w:rPr>
          <w:i/>
          <w:sz w:val="28"/>
          <w:szCs w:val="28"/>
        </w:rPr>
        <w:t>Члены</w:t>
      </w:r>
      <w:r w:rsidRPr="00332978">
        <w:rPr>
          <w:sz w:val="28"/>
          <w:szCs w:val="28"/>
        </w:rPr>
        <w:t>,</w:t>
      </w:r>
    </w:p>
    <w:p w:rsidR="007539E7" w:rsidRPr="00332978" w:rsidRDefault="007539E7" w:rsidP="007539E7">
      <w:pPr>
        <w:tabs>
          <w:tab w:val="left" w:pos="1134"/>
        </w:tabs>
        <w:ind w:firstLine="709"/>
        <w:contextualSpacing/>
        <w:jc w:val="both"/>
        <w:rPr>
          <w:sz w:val="28"/>
          <w:szCs w:val="28"/>
        </w:rPr>
      </w:pPr>
      <w:r w:rsidRPr="00332978">
        <w:rPr>
          <w:i/>
          <w:sz w:val="28"/>
          <w:szCs w:val="28"/>
        </w:rPr>
        <w:t>отмечая</w:t>
      </w:r>
      <w:r w:rsidRPr="00332978">
        <w:rPr>
          <w:sz w:val="28"/>
          <w:szCs w:val="28"/>
        </w:rPr>
        <w:t>, что статья XVII предусматривает обязательства членов в отношении деятельности государственных торговых предприятий, указанных в пункте 1 статьи XVII, которая должна соответствовать общим принципам недискриминационного режима, предписанного ГАТТ 1994 для правительственных мер, затрагивающих импорт и экспорт, осуществляемый частными коммерсантами;</w:t>
      </w:r>
    </w:p>
    <w:p w:rsidR="007539E7" w:rsidRPr="00332978" w:rsidRDefault="007539E7" w:rsidP="007539E7">
      <w:pPr>
        <w:tabs>
          <w:tab w:val="left" w:pos="1134"/>
        </w:tabs>
        <w:ind w:firstLine="709"/>
        <w:contextualSpacing/>
        <w:jc w:val="both"/>
        <w:rPr>
          <w:sz w:val="28"/>
          <w:szCs w:val="28"/>
        </w:rPr>
      </w:pPr>
      <w:r w:rsidRPr="00332978">
        <w:rPr>
          <w:i/>
          <w:sz w:val="28"/>
          <w:szCs w:val="28"/>
        </w:rPr>
        <w:t>отмечая далее</w:t>
      </w:r>
      <w:r w:rsidRPr="00332978">
        <w:rPr>
          <w:sz w:val="28"/>
          <w:szCs w:val="28"/>
        </w:rPr>
        <w:t>, что члены несут обязательства по ГАТТ 1994 в отношении тех правительственных мер, которые затрагивают государственные торговые предприятия;</w:t>
      </w:r>
    </w:p>
    <w:p w:rsidR="007539E7" w:rsidRPr="00332978" w:rsidRDefault="007539E7" w:rsidP="007539E7">
      <w:pPr>
        <w:tabs>
          <w:tab w:val="left" w:pos="1134"/>
        </w:tabs>
        <w:ind w:firstLine="709"/>
        <w:contextualSpacing/>
        <w:jc w:val="both"/>
        <w:rPr>
          <w:sz w:val="28"/>
          <w:szCs w:val="28"/>
        </w:rPr>
      </w:pPr>
      <w:r w:rsidRPr="00332978">
        <w:rPr>
          <w:i/>
          <w:sz w:val="28"/>
          <w:szCs w:val="28"/>
        </w:rPr>
        <w:t>признавая</w:t>
      </w:r>
      <w:r w:rsidRPr="00332978">
        <w:rPr>
          <w:sz w:val="28"/>
          <w:szCs w:val="28"/>
        </w:rPr>
        <w:t>, что настоящая Договоренность не наносит ущерба основным предписаниям, предусмотренным в статье XVII;</w:t>
      </w:r>
    </w:p>
    <w:p w:rsidR="007539E7" w:rsidRPr="00332978" w:rsidRDefault="007539E7" w:rsidP="007539E7">
      <w:pPr>
        <w:tabs>
          <w:tab w:val="left" w:pos="1134"/>
        </w:tabs>
        <w:ind w:firstLine="709"/>
        <w:contextualSpacing/>
        <w:jc w:val="both"/>
        <w:rPr>
          <w:sz w:val="28"/>
          <w:szCs w:val="28"/>
        </w:rPr>
      </w:pPr>
      <w:r w:rsidRPr="00332978">
        <w:rPr>
          <w:i/>
          <w:sz w:val="28"/>
          <w:szCs w:val="28"/>
        </w:rPr>
        <w:t>настоящим</w:t>
      </w:r>
      <w:r w:rsidRPr="00332978">
        <w:rPr>
          <w:sz w:val="28"/>
          <w:szCs w:val="28"/>
        </w:rPr>
        <w:t xml:space="preserve"> </w:t>
      </w:r>
      <w:r w:rsidRPr="00332978">
        <w:rPr>
          <w:i/>
          <w:sz w:val="28"/>
          <w:szCs w:val="28"/>
        </w:rPr>
        <w:t>договариваются</w:t>
      </w:r>
      <w:r w:rsidRPr="00332978">
        <w:rPr>
          <w:sz w:val="28"/>
          <w:szCs w:val="28"/>
        </w:rPr>
        <w:t xml:space="preserve"> о нижеследующем:</w:t>
      </w:r>
    </w:p>
    <w:p w:rsidR="007539E7" w:rsidRPr="00332978" w:rsidRDefault="007539E7" w:rsidP="007539E7">
      <w:pPr>
        <w:tabs>
          <w:tab w:val="left" w:pos="1134"/>
        </w:tabs>
        <w:ind w:firstLine="709"/>
        <w:contextualSpacing/>
        <w:jc w:val="both"/>
        <w:rPr>
          <w:sz w:val="28"/>
          <w:szCs w:val="28"/>
        </w:rPr>
      </w:pPr>
      <w:r w:rsidRPr="00332978">
        <w:rPr>
          <w:sz w:val="28"/>
          <w:szCs w:val="28"/>
        </w:rPr>
        <w:t>1.</w:t>
      </w:r>
      <w:r w:rsidRPr="00332978">
        <w:rPr>
          <w:sz w:val="28"/>
          <w:szCs w:val="28"/>
        </w:rPr>
        <w:tab/>
        <w:t>С целью обеспечения транспарентности деятельности государственных торговых предприятий члены уведомляют о таких предприятиях Совет по торговле товарами, с целью рассмотрения рабочей группой, которая создается согласно положениям пункта 5, исходя из следующего рабочего определения таких предприятий:</w:t>
      </w:r>
    </w:p>
    <w:p w:rsidR="007539E7" w:rsidRPr="00332978" w:rsidRDefault="007539E7" w:rsidP="007539E7">
      <w:pPr>
        <w:tabs>
          <w:tab w:val="left" w:pos="1134"/>
        </w:tabs>
        <w:ind w:firstLine="709"/>
        <w:contextualSpacing/>
        <w:jc w:val="both"/>
        <w:rPr>
          <w:sz w:val="28"/>
          <w:szCs w:val="28"/>
        </w:rPr>
      </w:pPr>
      <w:r w:rsidRPr="00332978">
        <w:rPr>
          <w:sz w:val="28"/>
          <w:szCs w:val="28"/>
        </w:rPr>
        <w:t>«Правительственные и неправительственные предприятия, включая органы по маркетингу, которые наделены исключительными или специальными правами или привилегиями, включая законодательные или конституционные полномочия, осуществляя которые они влияют посредством своих закупок или продаж на уровень или направление импорта или экспорта».</w:t>
      </w:r>
    </w:p>
    <w:p w:rsidR="007539E7" w:rsidRPr="00332978" w:rsidRDefault="007539E7" w:rsidP="007539E7">
      <w:pPr>
        <w:tabs>
          <w:tab w:val="left" w:pos="1134"/>
        </w:tabs>
        <w:ind w:firstLine="709"/>
        <w:contextualSpacing/>
        <w:jc w:val="both"/>
        <w:rPr>
          <w:sz w:val="28"/>
          <w:szCs w:val="28"/>
        </w:rPr>
      </w:pPr>
      <w:r w:rsidRPr="00332978">
        <w:rPr>
          <w:sz w:val="28"/>
          <w:szCs w:val="28"/>
        </w:rPr>
        <w:t>Указанное требование об уведомлении не применяется к импорту товаров для немедленного или конечного потребления для использования правительством или предприятием, как это определено выше, а не для перепродажи или использования в производстве товаров для продажи.</w:t>
      </w:r>
    </w:p>
    <w:p w:rsidR="007539E7" w:rsidRPr="00332978" w:rsidRDefault="007539E7" w:rsidP="007539E7">
      <w:pPr>
        <w:tabs>
          <w:tab w:val="left" w:pos="1134"/>
        </w:tabs>
        <w:ind w:firstLine="709"/>
        <w:contextualSpacing/>
        <w:jc w:val="both"/>
        <w:rPr>
          <w:sz w:val="28"/>
          <w:szCs w:val="28"/>
        </w:rPr>
      </w:pPr>
      <w:r w:rsidRPr="00332978">
        <w:rPr>
          <w:sz w:val="28"/>
          <w:szCs w:val="28"/>
        </w:rPr>
        <w:t>2.</w:t>
      </w:r>
      <w:r w:rsidRPr="00332978">
        <w:rPr>
          <w:sz w:val="28"/>
          <w:szCs w:val="28"/>
        </w:rPr>
        <w:tab/>
        <w:t>Каждый член рассматривает свою политику в отношении представления уведомлений о государственных торговых предприятиях Совету по торговле товарами, принимая во внимание положения настоящей Договоренности. Проводя такое рассмотрение, каждый член должен учитывать необходимость обеспечения максимально возможной транспарентности своих уведомлений с тем, чтобы обеспечить четкую оценку характера деятельности указанных предприятий и влияния их деятельности на международную торговлю.</w:t>
      </w:r>
    </w:p>
    <w:p w:rsidR="007539E7" w:rsidRPr="00332978" w:rsidRDefault="007539E7" w:rsidP="007539E7">
      <w:pPr>
        <w:tabs>
          <w:tab w:val="left" w:pos="1134"/>
        </w:tabs>
        <w:ind w:firstLine="709"/>
        <w:contextualSpacing/>
        <w:jc w:val="both"/>
        <w:rPr>
          <w:sz w:val="28"/>
          <w:szCs w:val="28"/>
        </w:rPr>
      </w:pPr>
      <w:r w:rsidRPr="00332978">
        <w:rPr>
          <w:sz w:val="28"/>
          <w:szCs w:val="28"/>
        </w:rPr>
        <w:t>3.</w:t>
      </w:r>
      <w:r w:rsidRPr="00332978">
        <w:rPr>
          <w:sz w:val="28"/>
          <w:szCs w:val="28"/>
        </w:rPr>
        <w:tab/>
        <w:t xml:space="preserve">Уведомления осуществляются в соответствии с вопросником о государственной торговле, принятым 24 мая 1960 г. (BISD 9S/184-185), </w:t>
      </w:r>
      <w:r w:rsidRPr="00332978">
        <w:rPr>
          <w:sz w:val="28"/>
          <w:szCs w:val="28"/>
        </w:rPr>
        <w:lastRenderedPageBreak/>
        <w:t>причем члены уведомляют о предприятиях, указанных в пункте 1, независимо от того, осуществляли ли они фактически импорт или экспорт или нет.</w:t>
      </w:r>
    </w:p>
    <w:p w:rsidR="007539E7" w:rsidRPr="00332978" w:rsidRDefault="007539E7" w:rsidP="007539E7">
      <w:pPr>
        <w:tabs>
          <w:tab w:val="left" w:pos="1134"/>
        </w:tabs>
        <w:ind w:firstLine="709"/>
        <w:contextualSpacing/>
        <w:jc w:val="both"/>
        <w:rPr>
          <w:sz w:val="28"/>
          <w:szCs w:val="28"/>
        </w:rPr>
      </w:pPr>
      <w:r w:rsidRPr="00332978">
        <w:rPr>
          <w:sz w:val="28"/>
          <w:szCs w:val="28"/>
        </w:rPr>
        <w:t>4.</w:t>
      </w:r>
      <w:r w:rsidRPr="00332978">
        <w:rPr>
          <w:sz w:val="28"/>
          <w:szCs w:val="28"/>
        </w:rPr>
        <w:tab/>
        <w:t>Любой член, имеющий основания полагать, что другой член выполнил свои обязательства по уведомлению в недостаточной мере, может поставить этот вопрос перед соответствующим членом. Если вопрос не получает удовлетворительного разрешения, он может направить ответное уведомление в Совет по торговле товарами для рассмотрения рабочей группой, созданной в соответствии с пунктом 5, одновременно уведомив об этом соответствующего заинтересованного члена.</w:t>
      </w:r>
    </w:p>
    <w:p w:rsidR="007539E7" w:rsidRPr="00332978" w:rsidRDefault="007539E7" w:rsidP="007539E7">
      <w:pPr>
        <w:tabs>
          <w:tab w:val="left" w:pos="1134"/>
        </w:tabs>
        <w:ind w:firstLine="709"/>
        <w:contextualSpacing/>
        <w:jc w:val="both"/>
        <w:rPr>
          <w:sz w:val="28"/>
          <w:szCs w:val="28"/>
        </w:rPr>
      </w:pPr>
      <w:r w:rsidRPr="00332978">
        <w:rPr>
          <w:sz w:val="28"/>
          <w:szCs w:val="28"/>
        </w:rPr>
        <w:t>5.</w:t>
      </w:r>
      <w:r w:rsidRPr="00332978">
        <w:rPr>
          <w:sz w:val="28"/>
          <w:szCs w:val="28"/>
        </w:rPr>
        <w:tab/>
        <w:t xml:space="preserve">Рабочая группа создается Советом по торговле товарами для рассмотрения уведомлений и встречных уведомлений. С учетом результатов такого рассмотрения и без ущерба для положений пункта 4 (с) статьи XVII, Совет по торговле товарами может давать рекомендации относительно адекватности сделанных уведомлений и необходимости дополнительной информации. Рабочая группа также рассматривает, с учетом полученных уведомлений, вопрос об адекватности указанного выше вопросника по государственной торговле и охвату государственных торговых предприятий, подлежащих уведомлению согласно пункту 1. Она также разработает примерный перечень взаимоотношений между правительствами и предприятиями и видов деятельности, осуществляемых этими предприятиями, которые могут рассматриваться в целях статьи XVII. При этом имеется в виду, что Секретариат подготовит общий вспомогательный документ для рабочей группы о деятельности государственных торговых предприятий, связанных с международной торговлей. Участие в рабочей группе является открытым для всех членов, высказавших желание работать в ней. Она проведет свое заседание не позднее чем через год после даты вступления в силу Соглашения о ВТО и в дальнейшем будет собираться не реже одного раза в год. Ежегодно она представляет доклады Совету по торговле товарами. </w:t>
      </w:r>
      <w:r w:rsidRPr="00332978">
        <w:rPr>
          <w:sz w:val="28"/>
          <w:szCs w:val="28"/>
          <w:vertAlign w:val="superscript"/>
        </w:rPr>
        <w:footnoteReference w:customMarkFollows="1" w:id="1"/>
        <w:t>1</w:t>
      </w:r>
      <w:r w:rsidRPr="00332978">
        <w:rPr>
          <w:sz w:val="28"/>
          <w:szCs w:val="28"/>
        </w:rPr>
        <w:t xml:space="preserve"> </w:t>
      </w:r>
    </w:p>
    <w:p w:rsidR="00EA1E8B" w:rsidRDefault="00EA1E8B"/>
    <w:sectPr w:rsidR="00EA1E8B">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D3" w:rsidRDefault="00C325D3" w:rsidP="007539E7">
      <w:r>
        <w:separator/>
      </w:r>
    </w:p>
  </w:endnote>
  <w:endnote w:type="continuationSeparator" w:id="0">
    <w:p w:rsidR="00C325D3" w:rsidRDefault="00C325D3" w:rsidP="0075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881188"/>
      <w:docPartObj>
        <w:docPartGallery w:val="Page Numbers (Bottom of Page)"/>
        <w:docPartUnique/>
      </w:docPartObj>
    </w:sdtPr>
    <w:sdtContent>
      <w:p w:rsidR="007539E7" w:rsidRDefault="007539E7">
        <w:pPr>
          <w:pStyle w:val="a8"/>
          <w:jc w:val="center"/>
        </w:pPr>
        <w:r>
          <w:fldChar w:fldCharType="begin"/>
        </w:r>
        <w:r>
          <w:instrText>PAGE   \* MERGEFORMAT</w:instrText>
        </w:r>
        <w:r>
          <w:fldChar w:fldCharType="separate"/>
        </w:r>
        <w:r>
          <w:rPr>
            <w:noProof/>
          </w:rPr>
          <w:t>2</w:t>
        </w:r>
        <w:r>
          <w:fldChar w:fldCharType="end"/>
        </w:r>
      </w:p>
    </w:sdtContent>
  </w:sdt>
  <w:p w:rsidR="007539E7" w:rsidRDefault="007539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D3" w:rsidRDefault="00C325D3" w:rsidP="007539E7">
      <w:r>
        <w:separator/>
      </w:r>
    </w:p>
  </w:footnote>
  <w:footnote w:type="continuationSeparator" w:id="0">
    <w:p w:rsidR="00C325D3" w:rsidRDefault="00C325D3" w:rsidP="007539E7">
      <w:r>
        <w:continuationSeparator/>
      </w:r>
    </w:p>
  </w:footnote>
  <w:footnote w:id="1">
    <w:p w:rsidR="007539E7" w:rsidRPr="00B917CB" w:rsidRDefault="007539E7" w:rsidP="007539E7">
      <w:pPr>
        <w:pStyle w:val="a4"/>
        <w:spacing w:before="0" w:after="0"/>
        <w:contextualSpacing/>
        <w:rPr>
          <w:rFonts w:ascii="Times New Roman" w:hAnsi="Times New Roman"/>
          <w:sz w:val="24"/>
          <w:szCs w:val="24"/>
        </w:rPr>
      </w:pPr>
      <w:r w:rsidRPr="00B917CB">
        <w:rPr>
          <w:rStyle w:val="a3"/>
          <w:rFonts w:ascii="Times New Roman" w:hAnsi="Times New Roman"/>
          <w:sz w:val="24"/>
          <w:szCs w:val="24"/>
        </w:rPr>
        <w:t>1</w:t>
      </w:r>
      <w:r w:rsidRPr="00B917CB">
        <w:rPr>
          <w:rFonts w:ascii="Times New Roman" w:hAnsi="Times New Roman"/>
          <w:sz w:val="24"/>
          <w:szCs w:val="24"/>
        </w:rPr>
        <w:t xml:space="preserve"> </w:t>
      </w:r>
      <w:r w:rsidRPr="00B917CB">
        <w:rPr>
          <w:rFonts w:ascii="Times New Roman" w:hAnsi="Times New Roman"/>
          <w:sz w:val="24"/>
          <w:szCs w:val="24"/>
        </w:rPr>
        <w:tab/>
        <w:t>Деятельность этой рабочей группы координируется с деятельностью рабочей группы, предусмотренной разделом III Решения министров о процедурах уведомления, принятого 15 апреля 1994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E7" w:rsidRDefault="007539E7" w:rsidP="007539E7">
    <w:pPr>
      <w:pStyle w:val="4"/>
      <w:spacing w:before="0" w:after="0"/>
      <w:contextualSpacing/>
      <w:jc w:val="right"/>
      <w:rPr>
        <w:rFonts w:ascii="Times New Roman" w:hAnsi="Times New Roman"/>
        <w:b w:val="0"/>
        <w:i/>
        <w:color w:val="222222"/>
        <w:sz w:val="20"/>
        <w:shd w:val="clear" w:color="auto" w:fill="FFFFFF"/>
        <w:lang w:val="kk-KZ"/>
      </w:rPr>
    </w:pPr>
    <w:r>
      <w:rPr>
        <w:rFonts w:ascii="Times New Roman" w:hAnsi="Times New Roman"/>
        <w:b w:val="0"/>
        <w:i/>
        <w:color w:val="222222"/>
        <w:sz w:val="20"/>
        <w:shd w:val="clear" w:color="auto" w:fill="FFFFFF"/>
        <w:lang w:val="kk-KZ"/>
      </w:rPr>
      <w:t>Н</w:t>
    </w:r>
    <w:r>
      <w:rPr>
        <w:rFonts w:ascii="Times New Roman" w:hAnsi="Times New Roman"/>
        <w:b w:val="0"/>
        <w:i/>
        <w:color w:val="222222"/>
        <w:sz w:val="20"/>
        <w:shd w:val="clear" w:color="auto" w:fill="FFFFFF"/>
      </w:rPr>
      <w:t>еофициальный перевод</w:t>
    </w:r>
    <w:r>
      <w:rPr>
        <w:rFonts w:ascii="Times New Roman" w:hAnsi="Times New Roman"/>
        <w:b w:val="0"/>
        <w:i/>
        <w:color w:val="222222"/>
        <w:sz w:val="20"/>
        <w:shd w:val="clear" w:color="auto" w:fill="FFFFFF"/>
        <w:lang w:val="kk-KZ"/>
      </w:rPr>
      <w:t xml:space="preserve">, аутентичный текст </w:t>
    </w:r>
  </w:p>
  <w:p w:rsidR="007539E7" w:rsidRDefault="007539E7" w:rsidP="007539E7">
    <w:pPr>
      <w:pStyle w:val="a6"/>
      <w:tabs>
        <w:tab w:val="left" w:pos="5253"/>
      </w:tabs>
      <w:jc w:val="right"/>
      <w:rPr>
        <w:i/>
        <w:color w:val="222222"/>
        <w:sz w:val="20"/>
        <w:shd w:val="clear" w:color="auto" w:fill="FFFFFF"/>
        <w:lang w:val="kk-KZ"/>
      </w:rPr>
    </w:pPr>
    <w:r>
      <w:rPr>
        <w:i/>
        <w:color w:val="222222"/>
        <w:sz w:val="20"/>
        <w:shd w:val="clear" w:color="auto" w:fill="FFFFFF"/>
        <w:lang w:val="kk-KZ"/>
      </w:rPr>
      <w:t>на</w:t>
    </w:r>
    <w:r>
      <w:rPr>
        <w:i/>
        <w:color w:val="222222"/>
        <w:sz w:val="20"/>
        <w:shd w:val="clear" w:color="auto" w:fill="FFFFFF"/>
      </w:rPr>
      <w:t xml:space="preserve"> английско</w:t>
    </w:r>
    <w:r>
      <w:rPr>
        <w:i/>
        <w:color w:val="222222"/>
        <w:sz w:val="20"/>
        <w:shd w:val="clear" w:color="auto" w:fill="FFFFFF"/>
        <w:lang w:val="kk-KZ"/>
      </w:rPr>
      <w:t>м, французском и испанском языках</w:t>
    </w:r>
  </w:p>
  <w:p w:rsidR="007539E7" w:rsidRDefault="007539E7" w:rsidP="007539E7">
    <w:pPr>
      <w:pStyle w:val="a6"/>
      <w:tabs>
        <w:tab w:val="left" w:pos="5253"/>
      </w:tabs>
      <w:jc w:val="right"/>
      <w:rPr>
        <w:szCs w:val="24"/>
      </w:rPr>
    </w:pPr>
  </w:p>
  <w:p w:rsidR="007539E7" w:rsidRDefault="007539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E7"/>
    <w:rsid w:val="001A3277"/>
    <w:rsid w:val="002E7544"/>
    <w:rsid w:val="00307816"/>
    <w:rsid w:val="00406571"/>
    <w:rsid w:val="006A3AAD"/>
    <w:rsid w:val="007539E7"/>
    <w:rsid w:val="00AE5CD1"/>
    <w:rsid w:val="00B824C6"/>
    <w:rsid w:val="00C325D3"/>
    <w:rsid w:val="00EA1E8B"/>
    <w:rsid w:val="00EA3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12EAF-93F0-4EDC-974B-F8EC35C3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9E7"/>
    <w:pPr>
      <w:spacing w:after="0" w:line="240" w:lineRule="auto"/>
    </w:pPr>
    <w:rPr>
      <w:rFonts w:ascii="Times New Roman" w:eastAsia="Times New Roman" w:hAnsi="Times New Roman" w:cs="Times New Roman"/>
      <w:sz w:val="24"/>
      <w:szCs w:val="20"/>
      <w:lang w:eastAsia="ru-RU"/>
    </w:rPr>
  </w:style>
  <w:style w:type="paragraph" w:styleId="4">
    <w:name w:val="heading 4"/>
    <w:basedOn w:val="a"/>
    <w:next w:val="a"/>
    <w:link w:val="40"/>
    <w:semiHidden/>
    <w:unhideWhenUsed/>
    <w:qFormat/>
    <w:rsid w:val="007539E7"/>
    <w:pPr>
      <w:keepNext/>
      <w:suppressAutoHyphens/>
      <w:spacing w:before="240" w:after="60"/>
      <w:jc w:val="center"/>
      <w:outlineLvl w:val="3"/>
    </w:pPr>
    <w:rPr>
      <w:rFonts w:ascii="TimesDL" w:hAnsi="TimesD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539E7"/>
    <w:rPr>
      <w:vertAlign w:val="superscript"/>
    </w:rPr>
  </w:style>
  <w:style w:type="paragraph" w:styleId="a4">
    <w:name w:val="footnote text"/>
    <w:aliases w:val="single space,footnote text"/>
    <w:basedOn w:val="a"/>
    <w:link w:val="a5"/>
    <w:uiPriority w:val="99"/>
    <w:rsid w:val="007539E7"/>
    <w:pPr>
      <w:spacing w:before="120" w:after="120"/>
      <w:jc w:val="both"/>
    </w:pPr>
    <w:rPr>
      <w:rFonts w:ascii="TimesDL" w:hAnsi="TimesDL"/>
      <w:sz w:val="18"/>
    </w:rPr>
  </w:style>
  <w:style w:type="character" w:customStyle="1" w:styleId="a5">
    <w:name w:val="Текст сноски Знак"/>
    <w:aliases w:val="single space Знак,footnote text Знак"/>
    <w:basedOn w:val="a0"/>
    <w:link w:val="a4"/>
    <w:uiPriority w:val="99"/>
    <w:rsid w:val="007539E7"/>
    <w:rPr>
      <w:rFonts w:ascii="TimesDL" w:eastAsia="Times New Roman" w:hAnsi="TimesDL" w:cs="Times New Roman"/>
      <w:sz w:val="18"/>
      <w:szCs w:val="20"/>
      <w:lang w:eastAsia="ru-RU"/>
    </w:rPr>
  </w:style>
  <w:style w:type="paragraph" w:styleId="a6">
    <w:name w:val="header"/>
    <w:basedOn w:val="a"/>
    <w:link w:val="a7"/>
    <w:uiPriority w:val="99"/>
    <w:unhideWhenUsed/>
    <w:rsid w:val="007539E7"/>
    <w:pPr>
      <w:tabs>
        <w:tab w:val="center" w:pos="4677"/>
        <w:tab w:val="right" w:pos="9355"/>
      </w:tabs>
    </w:pPr>
  </w:style>
  <w:style w:type="character" w:customStyle="1" w:styleId="a7">
    <w:name w:val="Верхний колонтитул Знак"/>
    <w:basedOn w:val="a0"/>
    <w:link w:val="a6"/>
    <w:uiPriority w:val="99"/>
    <w:rsid w:val="007539E7"/>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7539E7"/>
    <w:pPr>
      <w:tabs>
        <w:tab w:val="center" w:pos="4677"/>
        <w:tab w:val="right" w:pos="9355"/>
      </w:tabs>
    </w:pPr>
  </w:style>
  <w:style w:type="character" w:customStyle="1" w:styleId="a9">
    <w:name w:val="Нижний колонтитул Знак"/>
    <w:basedOn w:val="a0"/>
    <w:link w:val="a8"/>
    <w:uiPriority w:val="99"/>
    <w:rsid w:val="007539E7"/>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7539E7"/>
    <w:rPr>
      <w:rFonts w:ascii="TimesDL" w:eastAsia="Times New Roman" w:hAnsi="TimesDL"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63196">
      <w:bodyDiv w:val="1"/>
      <w:marLeft w:val="0"/>
      <w:marRight w:val="0"/>
      <w:marTop w:val="0"/>
      <w:marBottom w:val="0"/>
      <w:divBdr>
        <w:top w:val="none" w:sz="0" w:space="0" w:color="auto"/>
        <w:left w:val="none" w:sz="0" w:space="0" w:color="auto"/>
        <w:bottom w:val="none" w:sz="0" w:space="0" w:color="auto"/>
        <w:right w:val="none" w:sz="0" w:space="0" w:color="auto"/>
      </w:divBdr>
    </w:div>
    <w:div w:id="18277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CTPD</dc:creator>
  <cp:keywords/>
  <dc:description/>
  <cp:lastModifiedBy>CTPD</cp:lastModifiedBy>
  <cp:revision>1</cp:revision>
  <dcterms:created xsi:type="dcterms:W3CDTF">2018-05-18T06:01:00Z</dcterms:created>
  <dcterms:modified xsi:type="dcterms:W3CDTF">2018-05-18T06:02:00Z</dcterms:modified>
</cp:coreProperties>
</file>