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70" w:rsidRPr="00332978" w:rsidRDefault="00897670" w:rsidP="00897670">
      <w:pPr>
        <w:keepNext/>
        <w:tabs>
          <w:tab w:val="left" w:pos="1134"/>
        </w:tabs>
        <w:suppressAutoHyphens/>
        <w:contextualSpacing/>
        <w:jc w:val="center"/>
        <w:outlineLvl w:val="3"/>
        <w:rPr>
          <w:b/>
          <w:sz w:val="28"/>
          <w:szCs w:val="28"/>
        </w:rPr>
      </w:pPr>
      <w:bookmarkStart w:id="0" w:name="_GoBack"/>
      <w:r w:rsidRPr="00332978">
        <w:rPr>
          <w:b/>
          <w:sz w:val="28"/>
          <w:szCs w:val="28"/>
        </w:rPr>
        <w:t xml:space="preserve">ГЕНЕРАЛЬНОЕ СОГЛАШЕНИЕ ПО ТАРИФАМ И ТОРГОВЛЕ </w:t>
      </w:r>
    </w:p>
    <w:p w:rsidR="00897670" w:rsidRPr="00332978" w:rsidRDefault="00897670" w:rsidP="00897670">
      <w:pPr>
        <w:keepNext/>
        <w:tabs>
          <w:tab w:val="left" w:pos="1134"/>
        </w:tabs>
        <w:suppressAutoHyphens/>
        <w:contextualSpacing/>
        <w:jc w:val="center"/>
        <w:outlineLvl w:val="3"/>
        <w:rPr>
          <w:b/>
          <w:sz w:val="28"/>
          <w:szCs w:val="28"/>
        </w:rPr>
      </w:pPr>
      <w:r w:rsidRPr="00332978">
        <w:rPr>
          <w:b/>
          <w:sz w:val="28"/>
          <w:szCs w:val="28"/>
        </w:rPr>
        <w:t>1994 года</w:t>
      </w:r>
    </w:p>
    <w:bookmarkEnd w:id="0"/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1.</w:t>
      </w:r>
      <w:r w:rsidRPr="00332978">
        <w:rPr>
          <w:sz w:val="28"/>
          <w:szCs w:val="28"/>
        </w:rPr>
        <w:tab/>
        <w:t>Генеральное соглашение по тарифам и торговле 1994 года («ГАТТ 1994») включает в себя: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(а)</w:t>
      </w:r>
      <w:r w:rsidRPr="00332978">
        <w:rPr>
          <w:sz w:val="28"/>
          <w:szCs w:val="28"/>
        </w:rPr>
        <w:tab/>
        <w:t>положения Генерального соглашения по тарифам и торговле от 30 октября 1947 г., приложенного к Заключительному акту, принятому по завершении Второй сессии Подготовительного комитета Конференции Организации Объединенных Наций по торговле и занятости (исключая Протокол о временном применении), с уточнениями, поправками или изменениями, внесенными на основании положений правовых актов, которые вступили в силу до даты вступления в силу Соглашения о ВТО;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(b)</w:t>
      </w:r>
      <w:r w:rsidRPr="00332978">
        <w:rPr>
          <w:sz w:val="28"/>
          <w:szCs w:val="28"/>
        </w:rPr>
        <w:tab/>
        <w:t>положения нижеуказанных правовых актов, которые вступили в силу в рамках ГАТТ 1947 до даты вступления в силу Соглашения о ВТО: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(i)</w:t>
      </w:r>
      <w:r w:rsidRPr="00332978">
        <w:rPr>
          <w:sz w:val="28"/>
          <w:szCs w:val="28"/>
        </w:rPr>
        <w:tab/>
        <w:t>протоколы и подтверждения, относящиеся к тарифным уступкам;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протоколы о присоединении (исключая положения, (а) касающиеся временного применения или отзыва временного применения, и (b) предусматривающие временное применение части II ГАТТ 1947 в наиболее полном объеме, не противоречащем законодательству, существовавшему на дату Протокола);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решения об освобождении от обязательств, принятые на основании статьи XXV ГАТТ 1947 и действовавшие на дату вступления в силу Соглашения о ВТО;</w:t>
      </w:r>
      <w:r w:rsidRPr="00332978">
        <w:rPr>
          <w:sz w:val="28"/>
          <w:szCs w:val="28"/>
          <w:vertAlign w:val="superscript"/>
        </w:rPr>
        <w:footnoteReference w:customMarkFollows="1" w:id="1"/>
        <w:t>1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iv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другие решения ДОГОВАРИВАЮЩИХСЯ СТОРОН ГАТТ 1947;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(с)</w:t>
      </w:r>
      <w:r w:rsidRPr="00332978">
        <w:rPr>
          <w:sz w:val="28"/>
          <w:szCs w:val="28"/>
        </w:rPr>
        <w:tab/>
        <w:t>Договоренности, указанные ниже: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(i)</w:t>
      </w:r>
      <w:r w:rsidRPr="00332978">
        <w:rPr>
          <w:sz w:val="28"/>
          <w:szCs w:val="28"/>
        </w:rPr>
        <w:tab/>
        <w:t>Договоренность о толковании статьи II: 1 (b) Генерального соглашения по тарифам и торговле 1994 г.;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Договоренность о толковании статьи XVII Генерального соглашения по тарифам и торговле 1994 г.;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Договоренность в отношении положений о платежном балансе Генерального соглашения по тарифам и торговле 1994 г.;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iv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Договоренность о толковании статьи XXIV Генерального соглашения по тарифам и торговле 1994 г.;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(v)</w:t>
      </w:r>
      <w:r w:rsidRPr="00332978">
        <w:rPr>
          <w:sz w:val="28"/>
          <w:szCs w:val="28"/>
        </w:rPr>
        <w:tab/>
        <w:t>Договоренность в отношении освобождения от обязательств по Генеральному соглашению по тарифам и торговле 1994 г.;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lastRenderedPageBreak/>
        <w:t>(</w:t>
      </w:r>
      <w:proofErr w:type="spellStart"/>
      <w:r w:rsidRPr="00332978">
        <w:rPr>
          <w:sz w:val="28"/>
          <w:szCs w:val="28"/>
        </w:rPr>
        <w:t>vi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Договоренность о толковании статьи ХXVIII Генерального соглашения по тарифам и торговле 1994 г.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(d)</w:t>
      </w:r>
      <w:r w:rsidRPr="00332978">
        <w:rPr>
          <w:sz w:val="28"/>
          <w:szCs w:val="28"/>
        </w:rPr>
        <w:tab/>
      </w:r>
      <w:proofErr w:type="spellStart"/>
      <w:r w:rsidRPr="00332978">
        <w:rPr>
          <w:sz w:val="28"/>
          <w:szCs w:val="28"/>
        </w:rPr>
        <w:t>Марракешский</w:t>
      </w:r>
      <w:proofErr w:type="spellEnd"/>
      <w:r w:rsidRPr="00332978">
        <w:rPr>
          <w:sz w:val="28"/>
          <w:szCs w:val="28"/>
        </w:rPr>
        <w:t xml:space="preserve"> протокол к ГАТТ 1994.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2.</w:t>
      </w:r>
      <w:r w:rsidRPr="00332978">
        <w:rPr>
          <w:sz w:val="28"/>
          <w:szCs w:val="28"/>
        </w:rPr>
        <w:tab/>
      </w:r>
      <w:r w:rsidRPr="00332978">
        <w:rPr>
          <w:i/>
          <w:sz w:val="28"/>
          <w:szCs w:val="28"/>
        </w:rPr>
        <w:t>Пояснительные замечания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(а)</w:t>
      </w:r>
      <w:r w:rsidRPr="00332978">
        <w:rPr>
          <w:sz w:val="28"/>
          <w:szCs w:val="28"/>
        </w:rPr>
        <w:tab/>
        <w:t>Слова «договаривающаяся сторона», употребляемые в положениях ГАТТ 1994, означают «член». Слова «менее развитая договаривающаяся сторона» и «развитая договаривающаяся сторона» означают «развивающаяся страна-член» и «развитая страна-член». Слова «Исполнительный секретарь» означают «Генеральный директор ВТО».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(b)</w:t>
      </w:r>
      <w:r w:rsidRPr="00332978">
        <w:rPr>
          <w:sz w:val="28"/>
          <w:szCs w:val="28"/>
        </w:rPr>
        <w:tab/>
        <w:t>Ссылки на ДОГОВАРИВАЮЩИЕСЯ СТОРОНЫ, действующие совместно в статьях XV:1, XV:2, XV:8, XXXVIII и дополнительных положениях к статьям XII и XVIII, а также в положениях о специальных валютных соглашениях в статьях XV:2, XV:3, XV:6, XV:7 и XV:9 ГАТТ 1994, означают ссылки на ВТО. Другие функции, которые положения ГАТТ 1994 отводят ДОГОВАРИВАЮЩИМСЯ СТОРОНАМ, действующим совместно, отводятся Конференцией министров.</w:t>
      </w:r>
    </w:p>
    <w:p w:rsidR="00897670" w:rsidRPr="00332978" w:rsidRDefault="00897670" w:rsidP="00897670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(с) (i)</w:t>
      </w:r>
      <w:r w:rsidRPr="00332978">
        <w:rPr>
          <w:sz w:val="28"/>
          <w:szCs w:val="28"/>
        </w:rPr>
        <w:tab/>
        <w:t>Текст ГАТТ 1994 аутентичен на английском, испанском и французском языках.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>Текст ГАТТ 1994 на французском языке подлежит корректировке терминологии, указанной в Приложении А к документу MTN.TNC/41.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</w:t>
      </w:r>
      <w:proofErr w:type="spellStart"/>
      <w:r w:rsidRPr="00332978">
        <w:rPr>
          <w:sz w:val="28"/>
          <w:szCs w:val="28"/>
        </w:rPr>
        <w:t>iii</w:t>
      </w:r>
      <w:proofErr w:type="spellEnd"/>
      <w:r w:rsidRPr="00332978">
        <w:rPr>
          <w:sz w:val="28"/>
          <w:szCs w:val="28"/>
        </w:rPr>
        <w:t>)</w:t>
      </w:r>
      <w:r w:rsidRPr="00332978">
        <w:rPr>
          <w:sz w:val="28"/>
          <w:szCs w:val="28"/>
        </w:rPr>
        <w:tab/>
        <w:t xml:space="preserve">Аутентичным текстом ГАТТ 1994 на испанском языке является текст, содержащийся в томе IV Основных правовых инструментов и избранных документов, при условии корректировки терминов, как это указано в Приложении </w:t>
      </w:r>
      <w:proofErr w:type="gramStart"/>
      <w:r w:rsidRPr="00332978">
        <w:rPr>
          <w:sz w:val="28"/>
          <w:szCs w:val="28"/>
        </w:rPr>
        <w:t>В к</w:t>
      </w:r>
      <w:proofErr w:type="gramEnd"/>
      <w:r w:rsidRPr="00332978">
        <w:rPr>
          <w:sz w:val="28"/>
          <w:szCs w:val="28"/>
        </w:rPr>
        <w:t xml:space="preserve"> документу MTN.TNC/41.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3.</w:t>
      </w:r>
      <w:r w:rsidRPr="00332978">
        <w:rPr>
          <w:sz w:val="28"/>
          <w:szCs w:val="28"/>
        </w:rPr>
        <w:tab/>
      </w:r>
      <w:proofErr w:type="gramStart"/>
      <w:r w:rsidRPr="00332978">
        <w:rPr>
          <w:sz w:val="28"/>
          <w:szCs w:val="28"/>
        </w:rPr>
        <w:t>а)</w:t>
      </w:r>
      <w:r w:rsidRPr="00332978">
        <w:rPr>
          <w:sz w:val="28"/>
          <w:szCs w:val="28"/>
        </w:rPr>
        <w:tab/>
      </w:r>
      <w:proofErr w:type="gramEnd"/>
      <w:r w:rsidRPr="00332978">
        <w:rPr>
          <w:sz w:val="28"/>
          <w:szCs w:val="28"/>
        </w:rPr>
        <w:t xml:space="preserve">Положения части II ГАТТ 1994 не применяются к мерам, принятым членом на основании специального императивного законодательства, введенного в силу таким членом до того, как он стал договаривающейся стороной ГАТТ 1947, которое запрещает использование, продажу или аренду построенных или отремонтированных за границей судов для коммерческого использования между пунктами в национальных водах или водах исключительной экономической зоны. Такое изъятие применяется к: (а) продолжению действия или незамедлительному пересмотру несоответствующего положения такого законодательства; и (в) изменению несоответствующего положения такого </w:t>
      </w:r>
      <w:r w:rsidRPr="00332978">
        <w:rPr>
          <w:sz w:val="28"/>
          <w:szCs w:val="28"/>
        </w:rPr>
        <w:tab/>
        <w:t>законодательства в таких пределах, когда это изменение не уменьшает соответствия этого положения части II ГАТТ 1947. Это изъятие ограничивается мерами, принятыми в рамках указанного выше законодательства, в отношении которого делаются уведомления и уточнения до даты вступления в силу Соглашения о ВТО. Если такое законодательство впоследствии изменяется в сторону уменьшения его соответствия части II ГАТТ 1994, то оно не будет более подпадать под действие настоящего пункта.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(b)</w:t>
      </w:r>
      <w:r w:rsidRPr="00332978">
        <w:rPr>
          <w:sz w:val="28"/>
          <w:szCs w:val="28"/>
        </w:rPr>
        <w:tab/>
        <w:t xml:space="preserve">Конференция министров рассматривает такое изъятие не позднее чем через пять лет после даты вступления в силу Соглашения о ВТО, а затем каждые два года, до тех пор, пока это изъятие остается в силе для целей </w:t>
      </w:r>
      <w:r w:rsidRPr="00332978">
        <w:rPr>
          <w:sz w:val="28"/>
          <w:szCs w:val="28"/>
        </w:rPr>
        <w:lastRenderedPageBreak/>
        <w:t xml:space="preserve">изучения вопроса, сохраняются ли </w:t>
      </w:r>
      <w:proofErr w:type="gramStart"/>
      <w:r w:rsidRPr="00332978">
        <w:rPr>
          <w:sz w:val="28"/>
          <w:szCs w:val="28"/>
        </w:rPr>
        <w:t>по прежнему</w:t>
      </w:r>
      <w:proofErr w:type="gramEnd"/>
      <w:r w:rsidRPr="00332978">
        <w:rPr>
          <w:sz w:val="28"/>
          <w:szCs w:val="28"/>
        </w:rPr>
        <w:t xml:space="preserve"> условия, которые вызвали потребность в таком изъятии.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(c)</w:t>
      </w:r>
      <w:r w:rsidRPr="00332978">
        <w:rPr>
          <w:sz w:val="28"/>
          <w:szCs w:val="28"/>
        </w:rPr>
        <w:tab/>
        <w:t>Член, чьи меры подпадают под это изъятие, ежегодно представляет подробное уведомление со статистикой за пять лет средних показателей фактических и предполагавшихся поставок соответствующих судов, а также дополнительную информацию по использованию, продаже, аренде или ремонту соответствующих судов, подпадающих под это изъятие.</w:t>
      </w:r>
    </w:p>
    <w:p w:rsidR="00897670" w:rsidRPr="00332978" w:rsidRDefault="00897670" w:rsidP="0089767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32978">
        <w:rPr>
          <w:sz w:val="28"/>
          <w:szCs w:val="28"/>
        </w:rPr>
        <w:t>(d)</w:t>
      </w:r>
      <w:r w:rsidRPr="00332978">
        <w:rPr>
          <w:sz w:val="28"/>
          <w:szCs w:val="28"/>
        </w:rPr>
        <w:tab/>
        <w:t>Член, считающий, что указанное изъятие осуществляется таким образом, что это оправдывает взаимное и пропорциональное ограничение использования, продажи, аренды или ремонта судов, построенных на территории члена, прибегающего к этому изъятию, может ввести такое же ограничение при условии предварительного уведомления Конференции министров.</w:t>
      </w:r>
    </w:p>
    <w:p w:rsidR="00EA1E8B" w:rsidRDefault="00897670" w:rsidP="00897670">
      <w:pPr>
        <w:ind w:firstLine="709"/>
      </w:pPr>
      <w:r w:rsidRPr="00332978">
        <w:rPr>
          <w:sz w:val="28"/>
          <w:szCs w:val="28"/>
        </w:rPr>
        <w:t>(е)</w:t>
      </w:r>
      <w:r w:rsidRPr="00332978">
        <w:rPr>
          <w:sz w:val="28"/>
          <w:szCs w:val="28"/>
        </w:rPr>
        <w:tab/>
        <w:t>Такое изъятие не ущемляет решений, касающихся специальных аспектов законодательства, подпадающих под это изъятие, оговоренных в отраслевых соглашениях или на других форумах</w:t>
      </w:r>
    </w:p>
    <w:sectPr w:rsidR="00EA1E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9B" w:rsidRDefault="0068059B" w:rsidP="00897670">
      <w:r>
        <w:separator/>
      </w:r>
    </w:p>
  </w:endnote>
  <w:endnote w:type="continuationSeparator" w:id="0">
    <w:p w:rsidR="0068059B" w:rsidRDefault="0068059B" w:rsidP="0089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9B" w:rsidRDefault="0068059B" w:rsidP="00897670">
      <w:r>
        <w:separator/>
      </w:r>
    </w:p>
  </w:footnote>
  <w:footnote w:type="continuationSeparator" w:id="0">
    <w:p w:rsidR="0068059B" w:rsidRDefault="0068059B" w:rsidP="00897670">
      <w:r>
        <w:continuationSeparator/>
      </w:r>
    </w:p>
  </w:footnote>
  <w:footnote w:id="1">
    <w:p w:rsidR="00897670" w:rsidRPr="00B917CB" w:rsidRDefault="00897670" w:rsidP="00897670">
      <w:pPr>
        <w:pStyle w:val="a4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B917CB">
        <w:rPr>
          <w:rStyle w:val="a3"/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7CB">
        <w:rPr>
          <w:rFonts w:ascii="Times New Roman" w:hAnsi="Times New Roman"/>
          <w:sz w:val="24"/>
          <w:szCs w:val="24"/>
        </w:rPr>
        <w:t>Освобождения от обязательств, на которые распространяется это положение, перечисляются в сноске 7 на страницах 11 и 12 части II документа MTN/FA от 15 декабря 1993 г. и документа MTN/FA/Corr.6 от 21 марта 1994 г. Конференция министров на своей первой сессии установит пересмотренный перечень освобождений от обязательств, на которые распространяется это положение, дополненный любыми освобождениями от обязательств, предоставленными в рамках ГАТТ 1947 г., после 15 декабря 1993 г. и до момента вступления в силу Соглашения по ВТО, и исключающий освобождения от обязательств, срок которых истечет к этому врем</w:t>
      </w:r>
      <w:r w:rsidRPr="00B917CB">
        <w:rPr>
          <w:rFonts w:ascii="Times New Roman" w:hAnsi="Times New Roman"/>
          <w:sz w:val="24"/>
          <w:szCs w:val="24"/>
        </w:rPr>
        <w:t>е</w:t>
      </w:r>
      <w:r w:rsidRPr="00B917CB">
        <w:rPr>
          <w:rFonts w:ascii="Times New Roman" w:hAnsi="Times New Roman"/>
          <w:sz w:val="24"/>
          <w:szCs w:val="24"/>
        </w:rPr>
        <w:t>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70" w:rsidRDefault="00897670" w:rsidP="00897670">
    <w:pPr>
      <w:pStyle w:val="4"/>
      <w:spacing w:before="0" w:after="0"/>
      <w:contextualSpacing/>
      <w:jc w:val="right"/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</w:pP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>Н</w:t>
    </w:r>
    <w:proofErr w:type="spellStart"/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>еофициальный</w:t>
    </w:r>
    <w:proofErr w:type="spellEnd"/>
    <w:r>
      <w:rPr>
        <w:rFonts w:ascii="Times New Roman" w:hAnsi="Times New Roman"/>
        <w:b w:val="0"/>
        <w:i/>
        <w:color w:val="222222"/>
        <w:sz w:val="20"/>
        <w:shd w:val="clear" w:color="auto" w:fill="FFFFFF"/>
      </w:rPr>
      <w:t xml:space="preserve"> перевод</w:t>
    </w:r>
    <w:r>
      <w:rPr>
        <w:rFonts w:ascii="Times New Roman" w:hAnsi="Times New Roman"/>
        <w:b w:val="0"/>
        <w:i/>
        <w:color w:val="222222"/>
        <w:sz w:val="20"/>
        <w:shd w:val="clear" w:color="auto" w:fill="FFFFFF"/>
        <w:lang w:val="kk-KZ"/>
      </w:rPr>
      <w:t xml:space="preserve">, аутентичный текст </w:t>
    </w:r>
  </w:p>
  <w:p w:rsidR="00897670" w:rsidRDefault="00897670" w:rsidP="00897670">
    <w:pPr>
      <w:pStyle w:val="a6"/>
      <w:tabs>
        <w:tab w:val="left" w:pos="5253"/>
      </w:tabs>
      <w:jc w:val="right"/>
      <w:rPr>
        <w:szCs w:val="24"/>
      </w:rPr>
    </w:pPr>
    <w:r>
      <w:rPr>
        <w:i/>
        <w:color w:val="222222"/>
        <w:sz w:val="20"/>
        <w:shd w:val="clear" w:color="auto" w:fill="FFFFFF"/>
        <w:lang w:val="kk-KZ"/>
      </w:rPr>
      <w:t>на</w:t>
    </w:r>
    <w:r>
      <w:rPr>
        <w:i/>
        <w:color w:val="222222"/>
        <w:sz w:val="20"/>
        <w:shd w:val="clear" w:color="auto" w:fill="FFFFFF"/>
      </w:rPr>
      <w:t xml:space="preserve"> </w:t>
    </w:r>
    <w:proofErr w:type="spellStart"/>
    <w:r>
      <w:rPr>
        <w:i/>
        <w:color w:val="222222"/>
        <w:sz w:val="20"/>
        <w:shd w:val="clear" w:color="auto" w:fill="FFFFFF"/>
      </w:rPr>
      <w:t>английско</w:t>
    </w:r>
    <w:proofErr w:type="spellEnd"/>
    <w:r>
      <w:rPr>
        <w:i/>
        <w:color w:val="222222"/>
        <w:sz w:val="20"/>
        <w:shd w:val="clear" w:color="auto" w:fill="FFFFFF"/>
        <w:lang w:val="kk-KZ"/>
      </w:rPr>
      <w:t>м, французском и испанском языках</w:t>
    </w:r>
  </w:p>
  <w:p w:rsidR="00897670" w:rsidRDefault="008976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0"/>
    <w:rsid w:val="001A3277"/>
    <w:rsid w:val="002E7544"/>
    <w:rsid w:val="00307816"/>
    <w:rsid w:val="00406571"/>
    <w:rsid w:val="0068059B"/>
    <w:rsid w:val="006A3AAD"/>
    <w:rsid w:val="00897670"/>
    <w:rsid w:val="00AE5CD1"/>
    <w:rsid w:val="00B824C6"/>
    <w:rsid w:val="00EA1E8B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4C45-0A6E-476A-8A3F-C9C9F94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7670"/>
    <w:pPr>
      <w:keepNext/>
      <w:suppressAutoHyphens/>
      <w:spacing w:before="240" w:after="60"/>
      <w:jc w:val="center"/>
      <w:outlineLvl w:val="3"/>
    </w:pPr>
    <w:rPr>
      <w:rFonts w:ascii="TimesDL" w:hAnsi="TimesD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97670"/>
    <w:rPr>
      <w:vertAlign w:val="superscript"/>
    </w:rPr>
  </w:style>
  <w:style w:type="paragraph" w:styleId="a4">
    <w:name w:val="footnote text"/>
    <w:aliases w:val="single space,footnote text"/>
    <w:basedOn w:val="a"/>
    <w:link w:val="a5"/>
    <w:uiPriority w:val="99"/>
    <w:rsid w:val="00897670"/>
    <w:pPr>
      <w:spacing w:before="120" w:after="120"/>
      <w:jc w:val="both"/>
    </w:pPr>
    <w:rPr>
      <w:rFonts w:ascii="TimesDL" w:hAnsi="TimesDL"/>
      <w:sz w:val="18"/>
    </w:rPr>
  </w:style>
  <w:style w:type="character" w:customStyle="1" w:styleId="a5">
    <w:name w:val="Текст сноски Знак"/>
    <w:aliases w:val="single space Знак,footnote text Знак"/>
    <w:basedOn w:val="a0"/>
    <w:link w:val="a4"/>
    <w:uiPriority w:val="99"/>
    <w:rsid w:val="00897670"/>
    <w:rPr>
      <w:rFonts w:ascii="TimesDL" w:eastAsia="Times New Roman" w:hAnsi="TimesDL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7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6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7670"/>
    <w:rPr>
      <w:rFonts w:ascii="TimesDL" w:eastAsia="Times New Roman" w:hAnsi="TimesD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1</cp:revision>
  <dcterms:created xsi:type="dcterms:W3CDTF">2018-05-18T05:56:00Z</dcterms:created>
  <dcterms:modified xsi:type="dcterms:W3CDTF">2018-05-18T05:57:00Z</dcterms:modified>
</cp:coreProperties>
</file>