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9E" w:rsidRPr="005A799E" w:rsidRDefault="00374F9E" w:rsidP="00374F9E">
      <w:pPr>
        <w:keepNext/>
        <w:tabs>
          <w:tab w:val="left" w:pos="1134"/>
        </w:tabs>
        <w:suppressAutoHyphens/>
        <w:ind w:firstLine="709"/>
        <w:jc w:val="center"/>
        <w:outlineLvl w:val="3"/>
        <w:rPr>
          <w:b/>
          <w:sz w:val="28"/>
          <w:szCs w:val="28"/>
          <w:lang w:val="kk-KZ"/>
        </w:rPr>
      </w:pPr>
      <w:r w:rsidRPr="005A799E">
        <w:rPr>
          <w:b/>
          <w:sz w:val="28"/>
          <w:szCs w:val="28"/>
          <w:lang w:val="kk-KZ"/>
        </w:rPr>
        <w:t>1994 жылғы ТАРИФТЕР МЕН САУДА ЖӨНІНДЕГІ БАС КЕЛІСІМНІҢ XXVIII БАБЫН ТҮСІНДІРУ ТУРАЛЫ УАҒДАЛАСТЫҚ</w:t>
      </w:r>
    </w:p>
    <w:p w:rsidR="00374F9E" w:rsidRPr="005A799E" w:rsidRDefault="00374F9E" w:rsidP="00374F9E">
      <w:pPr>
        <w:tabs>
          <w:tab w:val="left" w:pos="1134"/>
        </w:tabs>
        <w:ind w:firstLine="709"/>
        <w:rPr>
          <w:sz w:val="28"/>
          <w:szCs w:val="28"/>
          <w:lang w:val="kk-KZ"/>
        </w:rPr>
      </w:pPr>
    </w:p>
    <w:p w:rsidR="00374F9E" w:rsidRPr="005A799E" w:rsidRDefault="00374F9E" w:rsidP="00374F9E">
      <w:pPr>
        <w:keepNext/>
        <w:tabs>
          <w:tab w:val="left" w:pos="1134"/>
        </w:tabs>
        <w:suppressAutoHyphens/>
        <w:ind w:firstLine="709"/>
        <w:outlineLvl w:val="4"/>
        <w:rPr>
          <w:sz w:val="28"/>
          <w:szCs w:val="28"/>
          <w:lang w:val="kk-KZ"/>
        </w:rPr>
      </w:pPr>
      <w:r w:rsidRPr="005A799E">
        <w:rPr>
          <w:sz w:val="28"/>
          <w:szCs w:val="28"/>
          <w:lang w:val="kk-KZ"/>
        </w:rPr>
        <w:t xml:space="preserve">Мүшелер төмендегілер туралы </w:t>
      </w:r>
      <w:r w:rsidRPr="005A799E">
        <w:rPr>
          <w:i/>
          <w:sz w:val="28"/>
          <w:szCs w:val="28"/>
          <w:lang w:val="kk-KZ"/>
        </w:rPr>
        <w:t xml:space="preserve">уағдаласады: </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1.</w:t>
      </w:r>
      <w:r w:rsidRPr="005A799E">
        <w:rPr>
          <w:sz w:val="28"/>
          <w:szCs w:val="28"/>
          <w:lang w:val="kk-KZ"/>
        </w:rPr>
        <w:tab/>
        <w:t xml:space="preserve">Басқаға беруді өзгерту немесе кері қайтарып алу мақсаттары үшін басқаға беру қозғаған экспорттың неғұрлым жоғары үлесіне ие мүше (яғни, басқаға беруді өзгертетін немесе күшін жоятын мүшенің нарығына тауар экспорттау) оның жалпы экспортында, егер оның бастапқы келіссөздік құқықтары болмаса немесе XXVIII баптың 1-тармағының негізінде негізгі мүдделі өнім беруші болып табылмаса, ол негізгі мүдделі өнім беруші болып есептеледі. Сонымен қатар көрсетілген тармақты шағын және орташа экспорттаушы мүшелердің пайдасына келіссөздік құқықтарды қайта бөлуді қамтамасыз ету бойынша осы критерийдің қолданылуын қанағаттандыру мәселесін шешу үшін ДСҰ туралы келісім күшіне енгеннен кейін бес жылдан соң Тауарлар саудасы жөніндегі кеңес қайта қарайтын болады деп уағдаласылды. Егер оның қолданылуы қанағаттанғысыз болып танылса, тиісті ақпарат болған кезде, басқаға беру қозғап отырған экспорттың үлесіне негізделген критерийді қабылдауды қоса алғанда, барлық нарықтарға аталған тауар экспортындағы ықтимал жақсарулар туралы ұсыныстар дайындалатын болады. </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2.</w:t>
      </w:r>
      <w:r w:rsidRPr="005A799E">
        <w:rPr>
          <w:sz w:val="28"/>
          <w:szCs w:val="28"/>
          <w:lang w:val="kk-KZ"/>
        </w:rPr>
        <w:tab/>
        <w:t>Егер мүше 1-тармақтың негізінде өзін негізгі мүдделі өнім беруші деп есептесе, ол өзінің наразылықтарын жазбаша түрде тиісті дәлелдемелерімен қоса басқаға беруді өзгертуге немесе кері қайтарып алуға ниетті мүшеге жібереді және бір мезгілде ол туралы Хатшылықты хабардар етеді. Мұндай жағдайларда 1980 жылдың 10 қарашасында қабылданған «XXVIII бабы бойынша келіссөздер рәсімдері» деген 4-тармақ қолданылады (BISD 27S/26-28).</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 xml:space="preserve">3. Қандай мүшелер негізгі мүдделі өнім берушілер (жоғарыда көрсетілген 1-тармақтың не XXVIII баптың 1-тармағының негізінде), ал қандайлары – айтарлықтай мүдделі өнім берушілер болып табылатыны жөніндегі мәселені шешкен кезде қозғалатын тауар саудасы және РНБ негізінде жүзеге асырылатын сауда ғана ескеріледі. Алайда шарттық емес преференциялар негізіндегі аталмыш тауар саудасы, егер мұндай саудада преференциалды режимнің басымдықтары қолданылуын тоқтатса және ол неғұрлым қолайлылық режиміне қайта оралса, басқаға беруді өзгерту немесе кері қайтарып алу туралы келіссөздер барысында ескеріледі немесе бұл осы келіссөздердің аяқталу кезіне қарай орын алады. </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4.</w:t>
      </w:r>
      <w:r w:rsidRPr="005A799E">
        <w:rPr>
          <w:sz w:val="28"/>
          <w:szCs w:val="28"/>
          <w:lang w:val="kk-KZ"/>
        </w:rPr>
        <w:tab/>
        <w:t xml:space="preserve">Жаңа тауардың (яғни үш жылдық кезеңде сауда статистикасы болмаған тауар) тарифтік жеңілдігі өзгерген немесе кері қайтарып алынған жағдайда жіктеліп отырған немесе бұдан бұрын жіктелген тауардың тарифтік позициясы бойынша бастапқы келіссөздік құқығын иеленген мүше осы басқаға беру бойынша бастапқы келіссөздік құқығы бар мүше ретінде қаралады. Негізгі мүдделі және айтарлықтай мүдделі өнім берушілерді </w:t>
      </w:r>
      <w:r w:rsidRPr="005A799E">
        <w:rPr>
          <w:sz w:val="28"/>
          <w:szCs w:val="28"/>
          <w:lang w:val="kk-KZ"/>
        </w:rPr>
        <w:lastRenderedPageBreak/>
        <w:t xml:space="preserve">айқындау кезінде және өтемақыны есептеген кезде, атап айтқанда, өндірістік қуаттылықтар мен экспорттаушы мүшенің қозғалып отырған тауар бойынша инвестициялары; экспорттың өсуін бағалау, сондай-ақ импорттаушы мүшенің осы тауарға деген сұранысының болжамдары ескеріледі. Осы тармақтың мақсаттары үшін «жаңа тауар» деген термин қолданыстағы тарифтік позициядан бөліп алу арқылы қалыптастырылған жаңа тарифтік позиция деп түсініледі. </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5.</w:t>
      </w:r>
      <w:r w:rsidRPr="005A799E">
        <w:rPr>
          <w:sz w:val="28"/>
          <w:szCs w:val="28"/>
          <w:lang w:val="kk-KZ"/>
        </w:rPr>
        <w:tab/>
        <w:t>Егер мүше өзін 4-тармақ ережелерінің негізінде негізгі мүдделі немесе айтарлықтай мүдделі өнім беруші болып табыламын деп есептесе, ол тиісті дәлелдерімен қоса, жазбаша түрде басқаға беруді өзгертуге немесе кері қайтарып алуға ниетті мүшеге наразылықтар жібереді және бір мезгілде бұл туралы Хатшылықты хабардар етеді. Мұндай жағдайларда жоғарыда атап көрсетілген «XXVIII бап бойынша келіссөздер рәсімдерінің» 4-тармағы қолданылады.</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6.</w:t>
      </w:r>
      <w:r w:rsidRPr="005A799E">
        <w:rPr>
          <w:sz w:val="28"/>
          <w:szCs w:val="28"/>
          <w:lang w:val="kk-KZ"/>
        </w:rPr>
        <w:tab/>
        <w:t xml:space="preserve">Егер шектелмеген тарифтік басқаға беру тарифтік квотамен алмастырылатын болса, онда өтемақының көзделген сомасы басқаға беруді өзгертумен нақты қозғалған сауданың көлемінен артық болуы тиіс. Болашаққа болжанатын сауда квотаның деңгейінен асып түсетін шама өтемақыны есептеу үшін негіз болуға тиіс. Бұл ретте болжанатын сауданың есебі мына шамалардың ішіндегі ең үлкенінің: </w:t>
      </w:r>
    </w:p>
    <w:p w:rsidR="00374F9E" w:rsidRPr="005A799E" w:rsidRDefault="00374F9E" w:rsidP="00374F9E">
      <w:pPr>
        <w:tabs>
          <w:tab w:val="left" w:pos="720"/>
          <w:tab w:val="left" w:pos="1134"/>
        </w:tabs>
        <w:ind w:left="709"/>
        <w:jc w:val="both"/>
        <w:rPr>
          <w:sz w:val="28"/>
          <w:szCs w:val="28"/>
          <w:lang w:val="kk-KZ"/>
        </w:rPr>
      </w:pPr>
      <w:r w:rsidRPr="005A799E">
        <w:rPr>
          <w:sz w:val="28"/>
          <w:szCs w:val="28"/>
          <w:lang w:val="kk-KZ"/>
        </w:rPr>
        <w:t>(а)</w:t>
      </w:r>
      <w:r w:rsidRPr="005A799E">
        <w:rPr>
          <w:sz w:val="28"/>
          <w:szCs w:val="28"/>
          <w:lang w:val="kk-KZ"/>
        </w:rPr>
        <w:tab/>
        <w:t xml:space="preserve">шамалардың қайсысы үлкен болып келетініне байланысты сол мерзімге не 10 пайызға импорттың орташа жылдық өсуіне көбейтілген неғұрлым жақын өкілдік үш жылдық кезеңдегі орташа жылдық сауданың; немесе </w:t>
      </w:r>
    </w:p>
    <w:p w:rsidR="00374F9E" w:rsidRPr="005A799E" w:rsidRDefault="00374F9E" w:rsidP="00374F9E">
      <w:pPr>
        <w:tabs>
          <w:tab w:val="left" w:pos="720"/>
          <w:tab w:val="left" w:pos="1134"/>
        </w:tabs>
        <w:ind w:left="709"/>
        <w:jc w:val="both"/>
        <w:rPr>
          <w:sz w:val="28"/>
          <w:szCs w:val="28"/>
          <w:lang w:val="kk-KZ"/>
        </w:rPr>
      </w:pPr>
      <w:r w:rsidRPr="005A799E">
        <w:rPr>
          <w:sz w:val="28"/>
          <w:szCs w:val="28"/>
          <w:lang w:val="kk-KZ"/>
        </w:rPr>
        <w:t>(b)</w:t>
      </w:r>
      <w:r w:rsidRPr="005A799E">
        <w:rPr>
          <w:sz w:val="28"/>
          <w:szCs w:val="28"/>
          <w:lang w:val="kk-KZ"/>
        </w:rPr>
        <w:tab/>
        <w:t>10 пайызға көбейтілген неғұрлым жақын жылдық кезеңдегі сауданың негізінде жасалуға тиіс деп түсініледі.</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 xml:space="preserve">Мүшенің өтемақы бойынша міндеттемесінің деңгейі басқаға берудің толықтай күшін жою нәтижесінде туындауы мүмкін деңгейден ешқандай да артық болуы мүмкін емес. </w:t>
      </w:r>
    </w:p>
    <w:p w:rsidR="00374F9E" w:rsidRPr="005A799E" w:rsidRDefault="00374F9E" w:rsidP="00374F9E">
      <w:pPr>
        <w:tabs>
          <w:tab w:val="left" w:pos="720"/>
          <w:tab w:val="left" w:pos="1134"/>
        </w:tabs>
        <w:ind w:firstLine="709"/>
        <w:jc w:val="both"/>
        <w:rPr>
          <w:sz w:val="28"/>
          <w:szCs w:val="28"/>
          <w:lang w:val="kk-KZ"/>
        </w:rPr>
      </w:pPr>
      <w:r w:rsidRPr="005A799E">
        <w:rPr>
          <w:sz w:val="28"/>
          <w:szCs w:val="28"/>
          <w:lang w:val="kk-KZ"/>
        </w:rPr>
        <w:tab/>
        <w:t>7.</w:t>
      </w:r>
      <w:r w:rsidRPr="005A799E">
        <w:rPr>
          <w:sz w:val="28"/>
          <w:szCs w:val="28"/>
          <w:lang w:val="kk-KZ"/>
        </w:rPr>
        <w:tab/>
        <w:t xml:space="preserve">Негізгі мүдделі өнім беруші болып табылатын кез келген мүшеге (не 1-тармақтың негізінде не XXVIII баптың 1-тармағының негізінде) өзгерту немесе кері қайтарып алу нысанасы болып табылатын басқаға беруге қатысты, егер өтемақының өзге нысаны тиісті мүшелердің арасында келісілмесе, өтемақылық басқаға берулер бойынша бастапқы келіссөздік құқық беріледі. </w:t>
      </w:r>
    </w:p>
    <w:p w:rsidR="00897277" w:rsidRPr="00374F9E" w:rsidRDefault="00897277">
      <w:pPr>
        <w:rPr>
          <w:lang w:val="kk-KZ"/>
        </w:rPr>
      </w:pPr>
    </w:p>
    <w:sectPr w:rsidR="00897277" w:rsidRPr="00374F9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B0" w:rsidRDefault="00957CB0" w:rsidP="00374F9E">
      <w:r>
        <w:separator/>
      </w:r>
    </w:p>
  </w:endnote>
  <w:endnote w:type="continuationSeparator" w:id="0">
    <w:p w:rsidR="00957CB0" w:rsidRDefault="00957CB0" w:rsidP="0037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BC" w:rsidRDefault="007374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67605"/>
      <w:docPartObj>
        <w:docPartGallery w:val="Page Numbers (Bottom of Page)"/>
        <w:docPartUnique/>
      </w:docPartObj>
    </w:sdtPr>
    <w:sdtEndPr/>
    <w:sdtContent>
      <w:p w:rsidR="00374F9E" w:rsidRDefault="00374F9E">
        <w:pPr>
          <w:pStyle w:val="a5"/>
          <w:jc w:val="right"/>
        </w:pPr>
        <w:r>
          <w:fldChar w:fldCharType="begin"/>
        </w:r>
        <w:r>
          <w:instrText>PAGE   \* MERGEFORMAT</w:instrText>
        </w:r>
        <w:r>
          <w:fldChar w:fldCharType="separate"/>
        </w:r>
        <w:r>
          <w:t>2</w:t>
        </w:r>
        <w:r>
          <w:fldChar w:fldCharType="end"/>
        </w:r>
      </w:p>
    </w:sdtContent>
  </w:sdt>
  <w:p w:rsidR="00374F9E" w:rsidRDefault="00374F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BC" w:rsidRDefault="007374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B0" w:rsidRDefault="00957CB0" w:rsidP="00374F9E">
      <w:r>
        <w:separator/>
      </w:r>
    </w:p>
  </w:footnote>
  <w:footnote w:type="continuationSeparator" w:id="0">
    <w:p w:rsidR="00957CB0" w:rsidRDefault="00957CB0" w:rsidP="0037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BC" w:rsidRDefault="007374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BC" w:rsidRDefault="007374BC" w:rsidP="007374BC">
    <w:pPr>
      <w:pStyle w:val="a3"/>
      <w:jc w:val="right"/>
      <w:rPr>
        <w:i/>
        <w:color w:val="222222"/>
        <w:sz w:val="20"/>
        <w:shd w:val="clear" w:color="auto" w:fill="FFFFFF"/>
        <w:lang w:val="kk-KZ"/>
      </w:rPr>
    </w:pPr>
    <w:bookmarkStart w:id="0" w:name="_Hlk51238910"/>
    <w:bookmarkStart w:id="1" w:name="_Hlk51238911"/>
    <w:r>
      <w:rPr>
        <w:i/>
        <w:color w:val="222222"/>
        <w:sz w:val="20"/>
        <w:shd w:val="clear" w:color="auto" w:fill="FFFFFF"/>
        <w:lang w:val="kk-KZ"/>
      </w:rPr>
      <w:t xml:space="preserve">Ресми емес аударма, түпнұсқалы мәтін </w:t>
    </w:r>
  </w:p>
  <w:p w:rsidR="007374BC" w:rsidRDefault="007374BC" w:rsidP="007374BC">
    <w:pPr>
      <w:pStyle w:val="a3"/>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p w:rsidR="007374BC" w:rsidRDefault="007374BC">
    <w:pPr>
      <w:pStyle w:val="a3"/>
    </w:pP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BC" w:rsidRDefault="007374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9E"/>
    <w:rsid w:val="00374F9E"/>
    <w:rsid w:val="007374BC"/>
    <w:rsid w:val="00897277"/>
    <w:rsid w:val="00957CB0"/>
    <w:rsid w:val="00A9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6487-73AB-4C6C-9731-A9975DE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F9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F9E"/>
    <w:pPr>
      <w:tabs>
        <w:tab w:val="center" w:pos="4677"/>
        <w:tab w:val="right" w:pos="9355"/>
      </w:tabs>
    </w:pPr>
  </w:style>
  <w:style w:type="character" w:customStyle="1" w:styleId="a4">
    <w:name w:val="Верхний колонтитул Знак"/>
    <w:basedOn w:val="a0"/>
    <w:link w:val="a3"/>
    <w:uiPriority w:val="99"/>
    <w:rsid w:val="00374F9E"/>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374F9E"/>
    <w:pPr>
      <w:tabs>
        <w:tab w:val="center" w:pos="4677"/>
        <w:tab w:val="right" w:pos="9355"/>
      </w:tabs>
    </w:pPr>
  </w:style>
  <w:style w:type="character" w:customStyle="1" w:styleId="a6">
    <w:name w:val="Нижний колонтитул Знак"/>
    <w:basedOn w:val="a0"/>
    <w:link w:val="a5"/>
    <w:uiPriority w:val="99"/>
    <w:rsid w:val="00374F9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2020-09-17T06:30:00Z</dcterms:created>
  <dcterms:modified xsi:type="dcterms:W3CDTF">2020-09-17T09:24:00Z</dcterms:modified>
</cp:coreProperties>
</file>